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EF10" w14:textId="1E528028" w:rsidR="002F3D8D" w:rsidRDefault="000868F4" w:rsidP="000868F4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 xml:space="preserve">Supplementary Tables </w:t>
      </w:r>
      <w:r w:rsidR="00CF48BB">
        <w:rPr>
          <w:b/>
          <w:bCs/>
          <w:sz w:val="32"/>
          <w:szCs w:val="32"/>
          <w:lang w:val="en-US"/>
        </w:rPr>
        <w:t>S</w:t>
      </w:r>
      <w:r w:rsidR="00922006">
        <w:rPr>
          <w:b/>
          <w:bCs/>
          <w:sz w:val="32"/>
          <w:szCs w:val="32"/>
          <w:lang w:val="en-US"/>
        </w:rPr>
        <w:t>1</w:t>
      </w:r>
      <w:r w:rsidR="00CF48BB">
        <w:rPr>
          <w:b/>
          <w:bCs/>
          <w:sz w:val="32"/>
          <w:szCs w:val="32"/>
          <w:lang w:val="en-US"/>
        </w:rPr>
        <w:t>-S4</w:t>
      </w:r>
      <w:r w:rsidR="00922006">
        <w:rPr>
          <w:b/>
          <w:bCs/>
          <w:sz w:val="32"/>
          <w:szCs w:val="32"/>
          <w:lang w:val="en-US"/>
        </w:rPr>
        <w:t>3</w:t>
      </w:r>
    </w:p>
    <w:p w14:paraId="2A460DBB" w14:textId="30FABDDC" w:rsidR="000868F4" w:rsidRPr="000868F4" w:rsidRDefault="003E3CD7" w:rsidP="000868F4">
      <w:pPr>
        <w:rPr>
          <w:b/>
          <w:bCs/>
          <w:i/>
          <w:iCs/>
          <w:sz w:val="28"/>
          <w:szCs w:val="28"/>
          <w:lang w:val="en-US"/>
        </w:rPr>
      </w:pPr>
      <w:r w:rsidRPr="00B0458E">
        <w:rPr>
          <w:b/>
          <w:bCs/>
          <w:sz w:val="28"/>
          <w:szCs w:val="28"/>
          <w:lang w:val="en-US"/>
        </w:rPr>
        <w:t xml:space="preserve">Supplementary Table </w:t>
      </w:r>
      <w:r w:rsidR="000868F4" w:rsidRPr="000868F4">
        <w:rPr>
          <w:b/>
          <w:bCs/>
          <w:i/>
          <w:iCs/>
          <w:sz w:val="28"/>
          <w:szCs w:val="28"/>
          <w:lang w:val="en-US"/>
        </w:rPr>
        <w:t>S</w:t>
      </w:r>
      <w:r w:rsidR="00922006">
        <w:rPr>
          <w:b/>
          <w:bCs/>
          <w:i/>
          <w:iCs/>
          <w:sz w:val="28"/>
          <w:szCs w:val="28"/>
          <w:lang w:val="en-US"/>
        </w:rPr>
        <w:t>1</w:t>
      </w:r>
      <w:r w:rsidR="000868F4" w:rsidRPr="000868F4">
        <w:rPr>
          <w:b/>
          <w:bCs/>
          <w:i/>
          <w:iCs/>
          <w:sz w:val="28"/>
          <w:szCs w:val="28"/>
          <w:lang w:val="en-US"/>
        </w:rPr>
        <w:t>_ Clinicopathological and Molecular Variables Associated with Death</w:t>
      </w:r>
    </w:p>
    <w:p w14:paraId="0B331D48" w14:textId="21872FCC" w:rsidR="000868F4" w:rsidRDefault="000868F4" w:rsidP="00CA7A14">
      <w:pPr>
        <w:jc w:val="both"/>
        <w:rPr>
          <w:lang w:val="en-US"/>
        </w:rPr>
      </w:pPr>
      <w:r w:rsidRPr="000868F4">
        <w:rPr>
          <w:lang w:val="en-US"/>
        </w:rPr>
        <w:t>The supplementary table presents the comparison of clinical, pathological, and molecular variables between patients who survived (n = 26) and those who died (n = 17). The analysis includes pre-treatment, post-treatment, and follow-up variables. Categorical variables were compared using Fisher’s exact or Pearson’s chi-squared tests, and continuous variables using t-tests or Wilcoxon rank-sum tests</w:t>
      </w:r>
      <w:r>
        <w:rPr>
          <w:lang w:val="en-US"/>
        </w:rPr>
        <w:t xml:space="preserve">. </w:t>
      </w:r>
      <w:r w:rsidRPr="000868F4">
        <w:rPr>
          <w:lang w:val="en-US"/>
        </w:rPr>
        <w:t>These results confirm that death was strongly associated with indicators of residual disease burden and treatment resistance, particularly low pathological response, lymph-node positivity, and advanced pathological stage—variables already recognized as key prognostic determinants in TNBC.</w:t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9"/>
        <w:gridCol w:w="2361"/>
        <w:gridCol w:w="2339"/>
        <w:gridCol w:w="1289"/>
        <w:gridCol w:w="776"/>
      </w:tblGrid>
      <w:tr w:rsidR="000868F4" w:rsidRPr="002B3B35" w14:paraId="2D830FE3" w14:textId="77777777" w:rsidTr="002B3B3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36BBB1" w14:textId="77777777" w:rsidR="000868F4" w:rsidRPr="002B3B35" w:rsidRDefault="000868F4" w:rsidP="000868F4">
            <w:pPr>
              <w:rPr>
                <w:b/>
                <w:bCs/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0" w:type="auto"/>
            <w:vAlign w:val="center"/>
            <w:hideMark/>
          </w:tcPr>
          <w:p w14:paraId="43CB7D98" w14:textId="77777777" w:rsidR="000868F4" w:rsidRPr="002B3B35" w:rsidRDefault="000868F4" w:rsidP="000868F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Survivors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(n = 26)</w:t>
            </w:r>
          </w:p>
        </w:tc>
        <w:tc>
          <w:tcPr>
            <w:tcW w:w="0" w:type="auto"/>
            <w:vAlign w:val="center"/>
            <w:hideMark/>
          </w:tcPr>
          <w:p w14:paraId="709E19A4" w14:textId="77777777" w:rsidR="000868F4" w:rsidRPr="002B3B35" w:rsidRDefault="000868F4" w:rsidP="000868F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Deceased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(n = 17)</w:t>
            </w:r>
          </w:p>
        </w:tc>
        <w:tc>
          <w:tcPr>
            <w:tcW w:w="0" w:type="auto"/>
            <w:vAlign w:val="center"/>
            <w:hideMark/>
          </w:tcPr>
          <w:p w14:paraId="7C4A9838" w14:textId="77777777" w:rsidR="000868F4" w:rsidRPr="002B3B35" w:rsidRDefault="000868F4" w:rsidP="000868F4">
            <w:pPr>
              <w:rPr>
                <w:b/>
                <w:bCs/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 xml:space="preserve">Test /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Comparison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BE8F0F" w14:textId="77777777" w:rsidR="000868F4" w:rsidRPr="002B3B35" w:rsidRDefault="000868F4" w:rsidP="000868F4">
            <w:pPr>
              <w:rPr>
                <w:b/>
                <w:bCs/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p-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value</w:t>
            </w:r>
            <w:proofErr w:type="spellEnd"/>
          </w:p>
        </w:tc>
      </w:tr>
      <w:tr w:rsidR="000868F4" w:rsidRPr="002B3B35" w14:paraId="05F162E4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053E5A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p53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pre-treatment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C35AFBB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&lt;10%: 7 (28.0</w:t>
            </w:r>
            <w:proofErr w:type="gramStart"/>
            <w:r w:rsidRPr="002B3B35">
              <w:rPr>
                <w:sz w:val="20"/>
                <w:szCs w:val="20"/>
              </w:rPr>
              <w:t>%)≥</w:t>
            </w:r>
            <w:proofErr w:type="gramEnd"/>
            <w:r w:rsidRPr="002B3B35">
              <w:rPr>
                <w:sz w:val="20"/>
                <w:szCs w:val="20"/>
              </w:rPr>
              <w:t>10%: 18 (72.0%)</w:t>
            </w:r>
          </w:p>
        </w:tc>
        <w:tc>
          <w:tcPr>
            <w:tcW w:w="0" w:type="auto"/>
            <w:vAlign w:val="center"/>
            <w:hideMark/>
          </w:tcPr>
          <w:p w14:paraId="52A352C7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&lt;10%: 10 (58.8</w:t>
            </w:r>
            <w:proofErr w:type="gramStart"/>
            <w:r w:rsidRPr="002B3B35">
              <w:rPr>
                <w:sz w:val="20"/>
                <w:szCs w:val="20"/>
              </w:rPr>
              <w:t>%)≥</w:t>
            </w:r>
            <w:proofErr w:type="gramEnd"/>
            <w:r w:rsidRPr="002B3B35">
              <w:rPr>
                <w:sz w:val="20"/>
                <w:szCs w:val="20"/>
              </w:rPr>
              <w:t>10%: 7 (41.2%)</w:t>
            </w:r>
          </w:p>
        </w:tc>
        <w:tc>
          <w:tcPr>
            <w:tcW w:w="0" w:type="auto"/>
            <w:vAlign w:val="center"/>
            <w:hideMark/>
          </w:tcPr>
          <w:p w14:paraId="5EAB7ED2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Pearson’s</w:t>
            </w:r>
            <w:proofErr w:type="spellEnd"/>
            <w:r w:rsidRPr="002B3B35">
              <w:rPr>
                <w:sz w:val="20"/>
                <w:szCs w:val="20"/>
              </w:rPr>
              <w:t xml:space="preserve"> χ²</w:t>
            </w:r>
          </w:p>
        </w:tc>
        <w:tc>
          <w:tcPr>
            <w:tcW w:w="0" w:type="auto"/>
            <w:vAlign w:val="center"/>
            <w:hideMark/>
          </w:tcPr>
          <w:p w14:paraId="742D390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0.0458</w:t>
            </w:r>
          </w:p>
        </w:tc>
      </w:tr>
      <w:tr w:rsidR="000868F4" w:rsidRPr="002B3B35" w14:paraId="14238D4E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B71DD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Pathological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response (%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CFBE521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Median 100 [90–100]Mean 87.7 (±24.7)</w:t>
            </w:r>
          </w:p>
        </w:tc>
        <w:tc>
          <w:tcPr>
            <w:tcW w:w="0" w:type="auto"/>
            <w:vAlign w:val="center"/>
            <w:hideMark/>
          </w:tcPr>
          <w:p w14:paraId="1692058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Median 49 [0–58]Mean 43.5 (±39.1)</w:t>
            </w:r>
          </w:p>
        </w:tc>
        <w:tc>
          <w:tcPr>
            <w:tcW w:w="0" w:type="auto"/>
            <w:vAlign w:val="center"/>
            <w:hideMark/>
          </w:tcPr>
          <w:p w14:paraId="7AEA93C2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 xml:space="preserve">Wilcoxon </w:t>
            </w:r>
            <w:proofErr w:type="spellStart"/>
            <w:r w:rsidRPr="002B3B35">
              <w:rPr>
                <w:sz w:val="20"/>
                <w:szCs w:val="20"/>
              </w:rPr>
              <w:t>rank</w:t>
            </w:r>
            <w:proofErr w:type="spellEnd"/>
            <w:r w:rsidRPr="002B3B35">
              <w:rPr>
                <w:sz w:val="20"/>
                <w:szCs w:val="20"/>
              </w:rPr>
              <w:t>-sum</w:t>
            </w:r>
          </w:p>
        </w:tc>
        <w:tc>
          <w:tcPr>
            <w:tcW w:w="0" w:type="auto"/>
            <w:vAlign w:val="center"/>
            <w:hideMark/>
          </w:tcPr>
          <w:p w14:paraId="14336E84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0.0005</w:t>
            </w:r>
          </w:p>
        </w:tc>
      </w:tr>
      <w:tr w:rsidR="000868F4" w:rsidRPr="002B3B35" w14:paraId="5FBFB572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0AA8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 xml:space="preserve">Response </w:t>
            </w:r>
            <w:proofErr w:type="gramStart"/>
            <w:r w:rsidRPr="002B3B35">
              <w:rPr>
                <w:b/>
                <w:bCs/>
                <w:sz w:val="20"/>
                <w:szCs w:val="20"/>
              </w:rPr>
              <w:t>status</w:t>
            </w:r>
            <w:proofErr w:type="gramEnd"/>
            <w:r w:rsidRPr="002B3B3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groups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CAB191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Non-</w:t>
            </w:r>
            <w:proofErr w:type="spellStart"/>
            <w:r w:rsidRPr="002B3B35">
              <w:rPr>
                <w:sz w:val="20"/>
                <w:szCs w:val="20"/>
              </w:rPr>
              <w:t>responders</w:t>
            </w:r>
            <w:proofErr w:type="spellEnd"/>
            <w:r w:rsidRPr="002B3B35">
              <w:rPr>
                <w:sz w:val="20"/>
                <w:szCs w:val="20"/>
              </w:rPr>
              <w:t>: 12 (46.2</w:t>
            </w:r>
            <w:proofErr w:type="gramStart"/>
            <w:r w:rsidRPr="002B3B35">
              <w:rPr>
                <w:sz w:val="20"/>
                <w:szCs w:val="20"/>
              </w:rPr>
              <w:t>%)</w:t>
            </w:r>
            <w:proofErr w:type="spellStart"/>
            <w:r w:rsidRPr="002B3B35">
              <w:rPr>
                <w:sz w:val="20"/>
                <w:szCs w:val="20"/>
              </w:rPr>
              <w:t>Responders</w:t>
            </w:r>
            <w:proofErr w:type="spellEnd"/>
            <w:proofErr w:type="gramEnd"/>
            <w:r w:rsidRPr="002B3B35">
              <w:rPr>
                <w:sz w:val="20"/>
                <w:szCs w:val="20"/>
              </w:rPr>
              <w:t>: 14 (53.8%)</w:t>
            </w:r>
          </w:p>
        </w:tc>
        <w:tc>
          <w:tcPr>
            <w:tcW w:w="0" w:type="auto"/>
            <w:vAlign w:val="center"/>
            <w:hideMark/>
          </w:tcPr>
          <w:p w14:paraId="5C0AEE2D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Non-</w:t>
            </w:r>
            <w:proofErr w:type="spellStart"/>
            <w:r w:rsidRPr="002B3B35">
              <w:rPr>
                <w:sz w:val="20"/>
                <w:szCs w:val="20"/>
              </w:rPr>
              <w:t>responders</w:t>
            </w:r>
            <w:proofErr w:type="spellEnd"/>
            <w:r w:rsidRPr="002B3B35">
              <w:rPr>
                <w:sz w:val="20"/>
                <w:szCs w:val="20"/>
              </w:rPr>
              <w:t>: 13 (76.5</w:t>
            </w:r>
            <w:proofErr w:type="gramStart"/>
            <w:r w:rsidRPr="002B3B35">
              <w:rPr>
                <w:sz w:val="20"/>
                <w:szCs w:val="20"/>
              </w:rPr>
              <w:t>%)</w:t>
            </w:r>
            <w:proofErr w:type="spellStart"/>
            <w:r w:rsidRPr="002B3B35">
              <w:rPr>
                <w:sz w:val="20"/>
                <w:szCs w:val="20"/>
              </w:rPr>
              <w:t>Responders</w:t>
            </w:r>
            <w:proofErr w:type="spellEnd"/>
            <w:proofErr w:type="gramEnd"/>
            <w:r w:rsidRPr="002B3B35">
              <w:rPr>
                <w:sz w:val="20"/>
                <w:szCs w:val="20"/>
              </w:rPr>
              <w:t>: 4 (23.5%)</w:t>
            </w:r>
          </w:p>
        </w:tc>
        <w:tc>
          <w:tcPr>
            <w:tcW w:w="0" w:type="auto"/>
            <w:vAlign w:val="center"/>
            <w:hideMark/>
          </w:tcPr>
          <w:p w14:paraId="2A6020C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Pearson’s</w:t>
            </w:r>
            <w:proofErr w:type="spellEnd"/>
            <w:r w:rsidRPr="002B3B35">
              <w:rPr>
                <w:sz w:val="20"/>
                <w:szCs w:val="20"/>
              </w:rPr>
              <w:t xml:space="preserve"> χ²</w:t>
            </w:r>
          </w:p>
        </w:tc>
        <w:tc>
          <w:tcPr>
            <w:tcW w:w="0" w:type="auto"/>
            <w:vAlign w:val="center"/>
            <w:hideMark/>
          </w:tcPr>
          <w:p w14:paraId="44D5F909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0.0488</w:t>
            </w:r>
          </w:p>
        </w:tc>
      </w:tr>
      <w:tr w:rsidR="000868F4" w:rsidRPr="002B3B35" w14:paraId="791ACE78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0B4D3" w14:textId="77777777" w:rsidR="000868F4" w:rsidRPr="002B3B35" w:rsidRDefault="000868F4" w:rsidP="000868F4">
            <w:pPr>
              <w:rPr>
                <w:sz w:val="20"/>
                <w:szCs w:val="20"/>
                <w:lang w:val="en-US"/>
              </w:rPr>
            </w:pPr>
            <w:r w:rsidRPr="002B3B35">
              <w:rPr>
                <w:b/>
                <w:bCs/>
                <w:sz w:val="20"/>
                <w:szCs w:val="20"/>
                <w:lang w:val="en-US"/>
              </w:rPr>
              <w:t>Affected lymph nodes (post-treatment)</w:t>
            </w:r>
          </w:p>
        </w:tc>
        <w:tc>
          <w:tcPr>
            <w:tcW w:w="0" w:type="auto"/>
            <w:vAlign w:val="center"/>
            <w:hideMark/>
          </w:tcPr>
          <w:p w14:paraId="2845D76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Median 0 [0–0]Mean 0.2 (±0.6)</w:t>
            </w:r>
          </w:p>
        </w:tc>
        <w:tc>
          <w:tcPr>
            <w:tcW w:w="0" w:type="auto"/>
            <w:vAlign w:val="center"/>
            <w:hideMark/>
          </w:tcPr>
          <w:p w14:paraId="1A65283E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Median 0 [0–3.0]Mean 1.9 (±3.3)</w:t>
            </w:r>
          </w:p>
        </w:tc>
        <w:tc>
          <w:tcPr>
            <w:tcW w:w="0" w:type="auto"/>
            <w:vAlign w:val="center"/>
            <w:hideMark/>
          </w:tcPr>
          <w:p w14:paraId="35C5913D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 xml:space="preserve">Wilcoxon </w:t>
            </w:r>
            <w:proofErr w:type="spellStart"/>
            <w:r w:rsidRPr="002B3B35">
              <w:rPr>
                <w:sz w:val="20"/>
                <w:szCs w:val="20"/>
              </w:rPr>
              <w:t>rank</w:t>
            </w:r>
            <w:proofErr w:type="spellEnd"/>
            <w:r w:rsidRPr="002B3B35">
              <w:rPr>
                <w:sz w:val="20"/>
                <w:szCs w:val="20"/>
              </w:rPr>
              <w:t>-sum</w:t>
            </w:r>
          </w:p>
        </w:tc>
        <w:tc>
          <w:tcPr>
            <w:tcW w:w="0" w:type="auto"/>
            <w:vAlign w:val="center"/>
            <w:hideMark/>
          </w:tcPr>
          <w:p w14:paraId="7761AC4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0.0027</w:t>
            </w:r>
          </w:p>
        </w:tc>
      </w:tr>
      <w:tr w:rsidR="000868F4" w:rsidRPr="002B3B35" w14:paraId="13C9CA61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FD818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Clinical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stage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1C1C5FF" w14:textId="77777777" w:rsidR="000868F4" w:rsidRPr="002B3B35" w:rsidRDefault="000868F4" w:rsidP="000868F4">
            <w:pPr>
              <w:rPr>
                <w:sz w:val="20"/>
                <w:szCs w:val="20"/>
                <w:lang w:val="en-US"/>
              </w:rPr>
            </w:pPr>
            <w:r w:rsidRPr="002B3B35">
              <w:rPr>
                <w:sz w:val="20"/>
                <w:szCs w:val="20"/>
                <w:lang w:val="en-US"/>
              </w:rPr>
              <w:t>Stage 0–I: 22 (84.6</w:t>
            </w:r>
            <w:proofErr w:type="gramStart"/>
            <w:r w:rsidRPr="002B3B35">
              <w:rPr>
                <w:sz w:val="20"/>
                <w:szCs w:val="20"/>
                <w:lang w:val="en-US"/>
              </w:rPr>
              <w:t>%)Stage</w:t>
            </w:r>
            <w:proofErr w:type="gramEnd"/>
            <w:r w:rsidRPr="002B3B35">
              <w:rPr>
                <w:sz w:val="20"/>
                <w:szCs w:val="20"/>
                <w:lang w:val="en-US"/>
              </w:rPr>
              <w:t xml:space="preserve"> II–IV: 4 (15.4%)</w:t>
            </w:r>
          </w:p>
        </w:tc>
        <w:tc>
          <w:tcPr>
            <w:tcW w:w="0" w:type="auto"/>
            <w:vAlign w:val="center"/>
            <w:hideMark/>
          </w:tcPr>
          <w:p w14:paraId="21D580BC" w14:textId="77777777" w:rsidR="000868F4" w:rsidRPr="002B3B35" w:rsidRDefault="000868F4" w:rsidP="000868F4">
            <w:pPr>
              <w:rPr>
                <w:sz w:val="20"/>
                <w:szCs w:val="20"/>
                <w:lang w:val="en-US"/>
              </w:rPr>
            </w:pPr>
            <w:r w:rsidRPr="002B3B35">
              <w:rPr>
                <w:sz w:val="20"/>
                <w:szCs w:val="20"/>
                <w:lang w:val="en-US"/>
              </w:rPr>
              <w:t>Stage 0–I: 7 (41.2</w:t>
            </w:r>
            <w:proofErr w:type="gramStart"/>
            <w:r w:rsidRPr="002B3B35">
              <w:rPr>
                <w:sz w:val="20"/>
                <w:szCs w:val="20"/>
                <w:lang w:val="en-US"/>
              </w:rPr>
              <w:t>%)Stage</w:t>
            </w:r>
            <w:proofErr w:type="gramEnd"/>
            <w:r w:rsidRPr="002B3B35">
              <w:rPr>
                <w:sz w:val="20"/>
                <w:szCs w:val="20"/>
                <w:lang w:val="en-US"/>
              </w:rPr>
              <w:t xml:space="preserve"> II–IV: 10 (58.8%)</w:t>
            </w:r>
          </w:p>
        </w:tc>
        <w:tc>
          <w:tcPr>
            <w:tcW w:w="0" w:type="auto"/>
            <w:vAlign w:val="center"/>
            <w:hideMark/>
          </w:tcPr>
          <w:p w14:paraId="16B86F83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9AA572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0.0352</w:t>
            </w:r>
          </w:p>
        </w:tc>
      </w:tr>
      <w:tr w:rsidR="000868F4" w:rsidRPr="002B3B35" w14:paraId="0AD8917F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5950C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 xml:space="preserve">T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stage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713D4D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T0–1: 23 (88.5</w:t>
            </w:r>
            <w:proofErr w:type="gramStart"/>
            <w:r w:rsidRPr="002B3B35">
              <w:rPr>
                <w:sz w:val="20"/>
                <w:szCs w:val="20"/>
              </w:rPr>
              <w:t>%)T</w:t>
            </w:r>
            <w:proofErr w:type="gramEnd"/>
            <w:r w:rsidRPr="002B3B35">
              <w:rPr>
                <w:sz w:val="20"/>
                <w:szCs w:val="20"/>
              </w:rPr>
              <w:t>2–4: 3 (11.5%)</w:t>
            </w:r>
          </w:p>
        </w:tc>
        <w:tc>
          <w:tcPr>
            <w:tcW w:w="0" w:type="auto"/>
            <w:vAlign w:val="center"/>
            <w:hideMark/>
          </w:tcPr>
          <w:p w14:paraId="0ED8E9AA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T0–1: 9 (52.9</w:t>
            </w:r>
            <w:proofErr w:type="gramStart"/>
            <w:r w:rsidRPr="002B3B35">
              <w:rPr>
                <w:sz w:val="20"/>
                <w:szCs w:val="20"/>
              </w:rPr>
              <w:t>%)T</w:t>
            </w:r>
            <w:proofErr w:type="gramEnd"/>
            <w:r w:rsidRPr="002B3B35">
              <w:rPr>
                <w:sz w:val="20"/>
                <w:szCs w:val="20"/>
              </w:rPr>
              <w:t>2–4: 8 (47.1%)</w:t>
            </w:r>
          </w:p>
        </w:tc>
        <w:tc>
          <w:tcPr>
            <w:tcW w:w="0" w:type="auto"/>
            <w:vAlign w:val="center"/>
            <w:hideMark/>
          </w:tcPr>
          <w:p w14:paraId="3288E30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79FC80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0.0373</w:t>
            </w:r>
          </w:p>
        </w:tc>
      </w:tr>
      <w:tr w:rsidR="000868F4" w:rsidRPr="002B3B35" w14:paraId="539EAEDF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26431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 xml:space="preserve">N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stage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0DA885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ypN0: 23 (88.5</w:t>
            </w:r>
            <w:proofErr w:type="gramStart"/>
            <w:r w:rsidRPr="002B3B35">
              <w:rPr>
                <w:sz w:val="20"/>
                <w:szCs w:val="20"/>
              </w:rPr>
              <w:t>%)</w:t>
            </w:r>
            <w:proofErr w:type="spellStart"/>
            <w:r w:rsidRPr="002B3B35">
              <w:rPr>
                <w:sz w:val="20"/>
                <w:szCs w:val="20"/>
              </w:rPr>
              <w:t>ypN</w:t>
            </w:r>
            <w:proofErr w:type="spellEnd"/>
            <w:proofErr w:type="gramEnd"/>
            <w:r w:rsidRPr="002B3B35">
              <w:rPr>
                <w:sz w:val="20"/>
                <w:szCs w:val="20"/>
              </w:rPr>
              <w:t>+: 3 (11.5%)</w:t>
            </w:r>
          </w:p>
        </w:tc>
        <w:tc>
          <w:tcPr>
            <w:tcW w:w="0" w:type="auto"/>
            <w:vAlign w:val="center"/>
            <w:hideMark/>
          </w:tcPr>
          <w:p w14:paraId="1AAD3199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ypN0: 7 (41.2</w:t>
            </w:r>
            <w:proofErr w:type="gramStart"/>
            <w:r w:rsidRPr="002B3B35">
              <w:rPr>
                <w:sz w:val="20"/>
                <w:szCs w:val="20"/>
              </w:rPr>
              <w:t>%)</w:t>
            </w:r>
            <w:proofErr w:type="spellStart"/>
            <w:r w:rsidRPr="002B3B35">
              <w:rPr>
                <w:sz w:val="20"/>
                <w:szCs w:val="20"/>
              </w:rPr>
              <w:t>ypN</w:t>
            </w:r>
            <w:proofErr w:type="spellEnd"/>
            <w:proofErr w:type="gramEnd"/>
            <w:r w:rsidRPr="002B3B35">
              <w:rPr>
                <w:sz w:val="20"/>
                <w:szCs w:val="20"/>
              </w:rPr>
              <w:t>+: 10 (58.8%)</w:t>
            </w:r>
          </w:p>
        </w:tc>
        <w:tc>
          <w:tcPr>
            <w:tcW w:w="0" w:type="auto"/>
            <w:vAlign w:val="center"/>
            <w:hideMark/>
          </w:tcPr>
          <w:p w14:paraId="015472B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C13F1B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0.0036</w:t>
            </w:r>
          </w:p>
        </w:tc>
      </w:tr>
      <w:tr w:rsidR="000868F4" w:rsidRPr="002B3B35" w14:paraId="4FFE67AB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791F8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Lymph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nodes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(positive,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9796EE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Negative: 24 (92.3</w:t>
            </w:r>
            <w:proofErr w:type="gramStart"/>
            <w:r w:rsidRPr="002B3B35">
              <w:rPr>
                <w:sz w:val="20"/>
                <w:szCs w:val="20"/>
              </w:rPr>
              <w:t>%)Positive</w:t>
            </w:r>
            <w:proofErr w:type="gramEnd"/>
            <w:r w:rsidRPr="002B3B35">
              <w:rPr>
                <w:sz w:val="20"/>
                <w:szCs w:val="20"/>
              </w:rPr>
              <w:t>: 2 (7.7%)</w:t>
            </w:r>
          </w:p>
        </w:tc>
        <w:tc>
          <w:tcPr>
            <w:tcW w:w="0" w:type="auto"/>
            <w:vAlign w:val="center"/>
            <w:hideMark/>
          </w:tcPr>
          <w:p w14:paraId="5E861F5F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Negative: 9 (52.9</w:t>
            </w:r>
            <w:proofErr w:type="gramStart"/>
            <w:r w:rsidRPr="002B3B35">
              <w:rPr>
                <w:sz w:val="20"/>
                <w:szCs w:val="20"/>
              </w:rPr>
              <w:t>%)Positive</w:t>
            </w:r>
            <w:proofErr w:type="gramEnd"/>
            <w:r w:rsidRPr="002B3B35">
              <w:rPr>
                <w:sz w:val="20"/>
                <w:szCs w:val="20"/>
              </w:rPr>
              <w:t>: 8 (47.1%)</w:t>
            </w:r>
          </w:p>
        </w:tc>
        <w:tc>
          <w:tcPr>
            <w:tcW w:w="0" w:type="auto"/>
            <w:vAlign w:val="center"/>
            <w:hideMark/>
          </w:tcPr>
          <w:p w14:paraId="5A6E638A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ED91C7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0.0072</w:t>
            </w:r>
          </w:p>
        </w:tc>
      </w:tr>
      <w:tr w:rsidR="000868F4" w:rsidRPr="002B3B35" w14:paraId="53C54ABC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BE5EF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lastRenderedPageBreak/>
              <w:t>Pathological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stage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post-treatment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810E15C" w14:textId="77777777" w:rsidR="000868F4" w:rsidRPr="002B3B35" w:rsidRDefault="000868F4" w:rsidP="000868F4">
            <w:pPr>
              <w:rPr>
                <w:sz w:val="20"/>
                <w:szCs w:val="20"/>
                <w:lang w:val="en-US"/>
              </w:rPr>
            </w:pPr>
            <w:r w:rsidRPr="002B3B35">
              <w:rPr>
                <w:sz w:val="20"/>
                <w:szCs w:val="20"/>
                <w:lang w:val="en-US"/>
              </w:rPr>
              <w:t>Stage 0–I: 22 (84.6</w:t>
            </w:r>
            <w:proofErr w:type="gramStart"/>
            <w:r w:rsidRPr="002B3B35">
              <w:rPr>
                <w:sz w:val="20"/>
                <w:szCs w:val="20"/>
                <w:lang w:val="en-US"/>
              </w:rPr>
              <w:t>%)Stage</w:t>
            </w:r>
            <w:proofErr w:type="gramEnd"/>
            <w:r w:rsidRPr="002B3B35">
              <w:rPr>
                <w:sz w:val="20"/>
                <w:szCs w:val="20"/>
                <w:lang w:val="en-US"/>
              </w:rPr>
              <w:t xml:space="preserve"> II–IV: 4 (15.4%)</w:t>
            </w:r>
          </w:p>
        </w:tc>
        <w:tc>
          <w:tcPr>
            <w:tcW w:w="0" w:type="auto"/>
            <w:vAlign w:val="center"/>
            <w:hideMark/>
          </w:tcPr>
          <w:p w14:paraId="2AA250AD" w14:textId="77777777" w:rsidR="000868F4" w:rsidRPr="002B3B35" w:rsidRDefault="000868F4" w:rsidP="000868F4">
            <w:pPr>
              <w:rPr>
                <w:sz w:val="20"/>
                <w:szCs w:val="20"/>
                <w:lang w:val="en-US"/>
              </w:rPr>
            </w:pPr>
            <w:r w:rsidRPr="002B3B35">
              <w:rPr>
                <w:sz w:val="20"/>
                <w:szCs w:val="20"/>
                <w:lang w:val="en-US"/>
              </w:rPr>
              <w:t>Stage 0–I: 4 (23.5</w:t>
            </w:r>
            <w:proofErr w:type="gramStart"/>
            <w:r w:rsidRPr="002B3B35">
              <w:rPr>
                <w:sz w:val="20"/>
                <w:szCs w:val="20"/>
                <w:lang w:val="en-US"/>
              </w:rPr>
              <w:t>%)Stage</w:t>
            </w:r>
            <w:proofErr w:type="gramEnd"/>
            <w:r w:rsidRPr="002B3B35">
              <w:rPr>
                <w:sz w:val="20"/>
                <w:szCs w:val="20"/>
                <w:lang w:val="en-US"/>
              </w:rPr>
              <w:t xml:space="preserve"> II–IV: 13 (76.5%)</w:t>
            </w:r>
          </w:p>
        </w:tc>
        <w:tc>
          <w:tcPr>
            <w:tcW w:w="0" w:type="auto"/>
            <w:vAlign w:val="center"/>
            <w:hideMark/>
          </w:tcPr>
          <w:p w14:paraId="2FFDD6EA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2A8F39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&lt;0.0001</w:t>
            </w:r>
          </w:p>
        </w:tc>
      </w:tr>
      <w:tr w:rsidR="000868F4" w:rsidRPr="002B3B35" w14:paraId="7B8F50FD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C0E0A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b/>
                <w:bCs/>
                <w:sz w:val="20"/>
                <w:szCs w:val="20"/>
              </w:rPr>
              <w:t>Recurrence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any</w:t>
            </w:r>
            <w:proofErr w:type="spellEnd"/>
            <w:r w:rsidRPr="002B3B3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CA3740B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No: 21 (80.8</w:t>
            </w:r>
            <w:proofErr w:type="gramStart"/>
            <w:r w:rsidRPr="002B3B35">
              <w:rPr>
                <w:sz w:val="20"/>
                <w:szCs w:val="20"/>
              </w:rPr>
              <w:t>%)Yes</w:t>
            </w:r>
            <w:proofErr w:type="gramEnd"/>
            <w:r w:rsidRPr="002B3B35">
              <w:rPr>
                <w:sz w:val="20"/>
                <w:szCs w:val="20"/>
              </w:rPr>
              <w:t>: 5 (19.2%)</w:t>
            </w:r>
          </w:p>
        </w:tc>
        <w:tc>
          <w:tcPr>
            <w:tcW w:w="0" w:type="auto"/>
            <w:vAlign w:val="center"/>
            <w:hideMark/>
          </w:tcPr>
          <w:p w14:paraId="65A79EBD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No: 0 (0</w:t>
            </w:r>
            <w:proofErr w:type="gramStart"/>
            <w:r w:rsidRPr="002B3B35">
              <w:rPr>
                <w:sz w:val="20"/>
                <w:szCs w:val="20"/>
              </w:rPr>
              <w:t>%)Yes</w:t>
            </w:r>
            <w:proofErr w:type="gramEnd"/>
            <w:r w:rsidRPr="002B3B35">
              <w:rPr>
                <w:sz w:val="20"/>
                <w:szCs w:val="20"/>
              </w:rPr>
              <w:t>: 17 (100%)</w:t>
            </w:r>
          </w:p>
        </w:tc>
        <w:tc>
          <w:tcPr>
            <w:tcW w:w="0" w:type="auto"/>
            <w:vAlign w:val="center"/>
            <w:hideMark/>
          </w:tcPr>
          <w:p w14:paraId="6A81A33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Pearson’s</w:t>
            </w:r>
            <w:proofErr w:type="spellEnd"/>
            <w:r w:rsidRPr="002B3B35">
              <w:rPr>
                <w:sz w:val="20"/>
                <w:szCs w:val="20"/>
              </w:rPr>
              <w:t xml:space="preserve"> χ²</w:t>
            </w:r>
          </w:p>
        </w:tc>
        <w:tc>
          <w:tcPr>
            <w:tcW w:w="0" w:type="auto"/>
            <w:vAlign w:val="center"/>
            <w:hideMark/>
          </w:tcPr>
          <w:p w14:paraId="0A5F0D5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&lt;0.0001</w:t>
            </w:r>
          </w:p>
        </w:tc>
      </w:tr>
      <w:tr w:rsidR="000868F4" w:rsidRPr="002B3B35" w14:paraId="6B30EB35" w14:textId="77777777" w:rsidTr="002B3B3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2F551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 xml:space="preserve">Response </w:t>
            </w:r>
            <w:proofErr w:type="gramStart"/>
            <w:r w:rsidRPr="002B3B35">
              <w:rPr>
                <w:b/>
                <w:bCs/>
                <w:sz w:val="20"/>
                <w:szCs w:val="20"/>
              </w:rPr>
              <w:t>status</w:t>
            </w:r>
            <w:proofErr w:type="gramEnd"/>
            <w:r w:rsidRPr="002B3B35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Pr="002B3B35">
              <w:rPr>
                <w:b/>
                <w:bCs/>
                <w:sz w:val="20"/>
                <w:szCs w:val="20"/>
              </w:rPr>
              <w:t>recurrence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2A0490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0–1: 4 (80.0</w:t>
            </w:r>
            <w:proofErr w:type="gramStart"/>
            <w:r w:rsidRPr="002B3B35">
              <w:rPr>
                <w:sz w:val="20"/>
                <w:szCs w:val="20"/>
              </w:rPr>
              <w:t>%)≥</w:t>
            </w:r>
            <w:proofErr w:type="gramEnd"/>
            <w:r w:rsidRPr="002B3B35">
              <w:rPr>
                <w:sz w:val="20"/>
                <w:szCs w:val="20"/>
              </w:rPr>
              <w:t>2: 1 (20.0%)</w:t>
            </w:r>
          </w:p>
        </w:tc>
        <w:tc>
          <w:tcPr>
            <w:tcW w:w="0" w:type="auto"/>
            <w:vAlign w:val="center"/>
            <w:hideMark/>
          </w:tcPr>
          <w:p w14:paraId="42FDBD83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sz w:val="20"/>
                <w:szCs w:val="20"/>
              </w:rPr>
              <w:t>0–1: 3 (17.6</w:t>
            </w:r>
            <w:proofErr w:type="gramStart"/>
            <w:r w:rsidRPr="002B3B35">
              <w:rPr>
                <w:sz w:val="20"/>
                <w:szCs w:val="20"/>
              </w:rPr>
              <w:t>%)≥</w:t>
            </w:r>
            <w:proofErr w:type="gramEnd"/>
            <w:r w:rsidRPr="002B3B35">
              <w:rPr>
                <w:sz w:val="20"/>
                <w:szCs w:val="20"/>
              </w:rPr>
              <w:t>2: 14 (82.4%)</w:t>
            </w:r>
          </w:p>
        </w:tc>
        <w:tc>
          <w:tcPr>
            <w:tcW w:w="0" w:type="auto"/>
            <w:vAlign w:val="center"/>
            <w:hideMark/>
          </w:tcPr>
          <w:p w14:paraId="1B5C2315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proofErr w:type="spellStart"/>
            <w:r w:rsidRPr="002B3B35">
              <w:rPr>
                <w:sz w:val="20"/>
                <w:szCs w:val="20"/>
              </w:rPr>
              <w:t>Fisher’s</w:t>
            </w:r>
            <w:proofErr w:type="spellEnd"/>
            <w:r w:rsidRPr="002B3B35">
              <w:rPr>
                <w:sz w:val="20"/>
                <w:szCs w:val="20"/>
              </w:rPr>
              <w:t xml:space="preserve"> </w:t>
            </w:r>
            <w:proofErr w:type="spellStart"/>
            <w:r w:rsidRPr="002B3B35">
              <w:rPr>
                <w:sz w:val="20"/>
                <w:szCs w:val="20"/>
              </w:rPr>
              <w:t>exact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BAA3F6" w14:textId="77777777" w:rsidR="000868F4" w:rsidRPr="002B3B35" w:rsidRDefault="000868F4" w:rsidP="000868F4">
            <w:pPr>
              <w:rPr>
                <w:sz w:val="20"/>
                <w:szCs w:val="20"/>
              </w:rPr>
            </w:pPr>
            <w:r w:rsidRPr="002B3B35">
              <w:rPr>
                <w:b/>
                <w:bCs/>
                <w:sz w:val="20"/>
                <w:szCs w:val="20"/>
              </w:rPr>
              <w:t>0.0039</w:t>
            </w:r>
          </w:p>
        </w:tc>
      </w:tr>
    </w:tbl>
    <w:p w14:paraId="1BC19832" w14:textId="77777777" w:rsidR="000868F4" w:rsidRPr="000868F4" w:rsidRDefault="000868F4" w:rsidP="000868F4">
      <w:pPr>
        <w:rPr>
          <w:lang w:val="en-US"/>
        </w:rPr>
      </w:pPr>
    </w:p>
    <w:p w14:paraId="15E5757F" w14:textId="59C144B8" w:rsidR="000868F4" w:rsidRDefault="000868F4">
      <w:pPr>
        <w:rPr>
          <w:lang w:val="en-US"/>
        </w:rPr>
      </w:pPr>
      <w:r>
        <w:rPr>
          <w:lang w:val="en-US"/>
        </w:rPr>
        <w:br w:type="page"/>
      </w:r>
    </w:p>
    <w:p w14:paraId="5D188803" w14:textId="7383AF1B" w:rsidR="000868F4" w:rsidRPr="000868F4" w:rsidRDefault="003E3CD7" w:rsidP="000868F4">
      <w:pPr>
        <w:rPr>
          <w:b/>
          <w:bCs/>
          <w:i/>
          <w:iCs/>
          <w:sz w:val="28"/>
          <w:szCs w:val="28"/>
          <w:lang w:val="en-US"/>
        </w:rPr>
      </w:pPr>
      <w:r w:rsidRPr="00B0458E">
        <w:rPr>
          <w:b/>
          <w:bCs/>
          <w:sz w:val="28"/>
          <w:szCs w:val="28"/>
          <w:lang w:val="en-US"/>
        </w:rPr>
        <w:lastRenderedPageBreak/>
        <w:t xml:space="preserve">Supplementary Table </w:t>
      </w:r>
      <w:r w:rsidR="000868F4" w:rsidRPr="000868F4">
        <w:rPr>
          <w:b/>
          <w:bCs/>
          <w:i/>
          <w:iCs/>
          <w:sz w:val="28"/>
          <w:szCs w:val="28"/>
          <w:lang w:val="en-US"/>
        </w:rPr>
        <w:t>S</w:t>
      </w:r>
      <w:r w:rsidR="00922006">
        <w:rPr>
          <w:b/>
          <w:bCs/>
          <w:i/>
          <w:iCs/>
          <w:sz w:val="28"/>
          <w:szCs w:val="28"/>
          <w:lang w:val="en-US"/>
        </w:rPr>
        <w:t>2</w:t>
      </w:r>
      <w:r w:rsidR="000868F4" w:rsidRPr="000868F4">
        <w:rPr>
          <w:b/>
          <w:bCs/>
          <w:i/>
          <w:iCs/>
          <w:sz w:val="28"/>
          <w:szCs w:val="28"/>
          <w:lang w:val="en-US"/>
        </w:rPr>
        <w:t xml:space="preserve">_ Clinicopathological and Molecular Variables Associated with </w:t>
      </w:r>
      <w:r w:rsidR="000868F4">
        <w:rPr>
          <w:b/>
          <w:bCs/>
          <w:i/>
          <w:iCs/>
          <w:sz w:val="28"/>
          <w:szCs w:val="28"/>
          <w:lang w:val="en-US"/>
        </w:rPr>
        <w:t>Recurrence</w:t>
      </w:r>
    </w:p>
    <w:p w14:paraId="6C2FCD01" w14:textId="77777777" w:rsidR="000868F4" w:rsidRPr="000868F4" w:rsidRDefault="000868F4" w:rsidP="00CA7A14">
      <w:pPr>
        <w:jc w:val="both"/>
        <w:rPr>
          <w:lang w:val="en-US"/>
        </w:rPr>
      </w:pPr>
      <w:r w:rsidRPr="000868F4">
        <w:rPr>
          <w:lang w:val="en-US"/>
        </w:rPr>
        <w:t xml:space="preserve">The supplementary table compares clinical, pathological, and molecular variables between patients who remained disease-free (n = 21) and those who experienced recurrence (n = 22). Analyses included demographic, treatment, pathological, and mutational data before and after neoadjuvant chemotherapy. Categorical variables were tested using Fisher’s exact or Pearson’s </w:t>
      </w:r>
      <w:r w:rsidRPr="000868F4">
        <w:t>χ</w:t>
      </w:r>
      <w:r w:rsidRPr="000868F4">
        <w:rPr>
          <w:lang w:val="en-US"/>
        </w:rPr>
        <w:t>², and continuous variables using Wilcoxon rank-sum or t-tests.</w:t>
      </w:r>
    </w:p>
    <w:p w14:paraId="00D89814" w14:textId="77777777" w:rsidR="000868F4" w:rsidRPr="000868F4" w:rsidRDefault="000868F4" w:rsidP="00CA7A14">
      <w:pPr>
        <w:jc w:val="both"/>
        <w:rPr>
          <w:lang w:val="en-US"/>
        </w:rPr>
      </w:pPr>
      <w:r w:rsidRPr="000868F4">
        <w:rPr>
          <w:b/>
          <w:bCs/>
          <w:lang w:val="en-US"/>
        </w:rPr>
        <w:t>Significant variables (p &lt; 0.05)</w:t>
      </w:r>
      <w:r w:rsidRPr="000868F4">
        <w:rPr>
          <w:lang w:val="en-US"/>
        </w:rPr>
        <w:t xml:space="preserve"> associated with recurrence are summarized below:</w:t>
      </w:r>
    </w:p>
    <w:p w14:paraId="4ADC4539" w14:textId="77777777" w:rsidR="000868F4" w:rsidRPr="000868F4" w:rsidRDefault="000868F4" w:rsidP="00CA7A14">
      <w:pPr>
        <w:jc w:val="both"/>
        <w:rPr>
          <w:lang w:val="en-US"/>
        </w:rPr>
      </w:pPr>
      <w:r w:rsidRPr="000868F4">
        <w:rPr>
          <w:lang w:val="en-US"/>
        </w:rPr>
        <w:t xml:space="preserve">Comparison of pre-treatment, post-treatment, and follow-up variables between patients with and without recurrence (n = 43). Continuous variables are expressed as medians [IQR] and categorical variables as frequencies (%). Statistical comparisons were performed using Wilcoxon rank-sum, Student’s t-test, Pearson’s </w:t>
      </w:r>
      <w:r w:rsidRPr="000868F4">
        <w:t>χ</w:t>
      </w:r>
      <w:r w:rsidRPr="000868F4">
        <w:rPr>
          <w:lang w:val="en-US"/>
        </w:rPr>
        <w:t>², or Fisher’s exact tests as appropriate.</w:t>
      </w:r>
    </w:p>
    <w:p w14:paraId="5D838E99" w14:textId="468DB747" w:rsidR="000868F4" w:rsidRPr="000868F4" w:rsidRDefault="000868F4" w:rsidP="00CA7A14">
      <w:pPr>
        <w:jc w:val="both"/>
        <w:rPr>
          <w:lang w:val="en-US"/>
        </w:rPr>
      </w:pPr>
      <w:r w:rsidRPr="000868F4">
        <w:rPr>
          <w:b/>
          <w:bCs/>
          <w:lang w:val="en-US"/>
        </w:rPr>
        <w:t>Significant associations (p &lt; 0.05)</w:t>
      </w:r>
      <w:r w:rsidRPr="000868F4">
        <w:rPr>
          <w:lang w:val="en-US"/>
        </w:rPr>
        <w:t xml:space="preserve"> are highlighted in </w:t>
      </w:r>
      <w:r w:rsidRPr="000868F4">
        <w:rPr>
          <w:b/>
          <w:bCs/>
          <w:lang w:val="en-US"/>
        </w:rPr>
        <w:t>bold</w:t>
      </w:r>
      <w:r w:rsidRPr="000868F4">
        <w:rPr>
          <w:lang w:val="en-US"/>
        </w:rPr>
        <w:t xml:space="preserve"> in the table. Recurrence was significantly associated with </w:t>
      </w:r>
      <w:r w:rsidRPr="000868F4">
        <w:rPr>
          <w:b/>
          <w:bCs/>
          <w:lang w:val="en-US"/>
        </w:rPr>
        <w:t>lower pathological response percentage</w:t>
      </w:r>
      <w:r w:rsidRPr="000868F4">
        <w:rPr>
          <w:lang w:val="en-US"/>
        </w:rPr>
        <w:t xml:space="preserve">, </w:t>
      </w:r>
      <w:r w:rsidRPr="000868F4">
        <w:rPr>
          <w:b/>
          <w:bCs/>
          <w:lang w:val="en-US"/>
        </w:rPr>
        <w:t>higher post-treatment nodal involvement</w:t>
      </w:r>
      <w:r w:rsidRPr="000868F4">
        <w:rPr>
          <w:lang w:val="en-US"/>
        </w:rPr>
        <w:t xml:space="preserve">, and </w:t>
      </w:r>
      <w:r w:rsidRPr="000868F4">
        <w:rPr>
          <w:b/>
          <w:bCs/>
          <w:lang w:val="en-US"/>
        </w:rPr>
        <w:t>advanced pathological stage</w:t>
      </w:r>
      <w:r w:rsidRPr="000868F4">
        <w:rPr>
          <w:lang w:val="en-US"/>
        </w:rPr>
        <w:t>, all markers of residual tumor burden after neoadjuvant chemotherapy</w:t>
      </w:r>
      <w:r>
        <w:rPr>
          <w:lang w:val="en-US"/>
        </w:rPr>
        <w:t xml:space="preserve">, </w:t>
      </w:r>
      <w:r w:rsidRPr="000868F4">
        <w:rPr>
          <w:lang w:val="en-US"/>
        </w:rPr>
        <w:t>confirming that residual tumor burden after neoadjuvant therapy remains the strongest determinant of relapse risk in triple-negative breast cancer</w:t>
      </w:r>
    </w:p>
    <w:p w14:paraId="11062F4B" w14:textId="77777777" w:rsidR="000868F4" w:rsidRDefault="000868F4">
      <w:pPr>
        <w:rPr>
          <w:lang w:val="en-US"/>
        </w:rPr>
      </w:pPr>
    </w:p>
    <w:tbl>
      <w:tblPr>
        <w:tblW w:w="8789" w:type="dxa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2551"/>
        <w:gridCol w:w="2341"/>
        <w:gridCol w:w="1464"/>
        <w:gridCol w:w="1015"/>
      </w:tblGrid>
      <w:tr w:rsidR="000868F4" w:rsidRPr="002B3B35" w14:paraId="06B5E771" w14:textId="77777777" w:rsidTr="00B36808">
        <w:trPr>
          <w:tblHeader/>
          <w:tblCellSpacing w:w="15" w:type="dxa"/>
        </w:trPr>
        <w:tc>
          <w:tcPr>
            <w:tcW w:w="1373" w:type="dxa"/>
            <w:vAlign w:val="center"/>
            <w:hideMark/>
          </w:tcPr>
          <w:p w14:paraId="335B0AD0" w14:textId="77777777" w:rsidR="000868F4" w:rsidRPr="002B3B35" w:rsidRDefault="000868F4" w:rsidP="000868F4">
            <w:pPr>
              <w:rPr>
                <w:b/>
                <w:bCs/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2521" w:type="dxa"/>
            <w:vAlign w:val="center"/>
            <w:hideMark/>
          </w:tcPr>
          <w:p w14:paraId="46BA8E27" w14:textId="77777777" w:rsidR="000868F4" w:rsidRPr="002B3B35" w:rsidRDefault="000868F4" w:rsidP="000868F4">
            <w:pPr>
              <w:rPr>
                <w:b/>
                <w:bCs/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 xml:space="preserve">No 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Recurrence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 xml:space="preserve"> (n = 21)</w:t>
            </w:r>
          </w:p>
        </w:tc>
        <w:tc>
          <w:tcPr>
            <w:tcW w:w="2311" w:type="dxa"/>
            <w:vAlign w:val="center"/>
            <w:hideMark/>
          </w:tcPr>
          <w:p w14:paraId="7DEC37AB" w14:textId="77777777" w:rsidR="000868F4" w:rsidRPr="002B3B35" w:rsidRDefault="000868F4" w:rsidP="000868F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3B35">
              <w:rPr>
                <w:b/>
                <w:bCs/>
                <w:sz w:val="18"/>
                <w:szCs w:val="18"/>
              </w:rPr>
              <w:t>Recurrence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 xml:space="preserve"> (n = 22)</w:t>
            </w:r>
          </w:p>
        </w:tc>
        <w:tc>
          <w:tcPr>
            <w:tcW w:w="1434" w:type="dxa"/>
            <w:vAlign w:val="center"/>
            <w:hideMark/>
          </w:tcPr>
          <w:p w14:paraId="6A20A297" w14:textId="77777777" w:rsidR="000868F4" w:rsidRPr="002B3B35" w:rsidRDefault="000868F4" w:rsidP="000868F4">
            <w:pPr>
              <w:rPr>
                <w:b/>
                <w:bCs/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 xml:space="preserve">Test / 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Comparison</w:t>
            </w:r>
            <w:proofErr w:type="spellEnd"/>
          </w:p>
        </w:tc>
        <w:tc>
          <w:tcPr>
            <w:tcW w:w="970" w:type="dxa"/>
            <w:vAlign w:val="center"/>
            <w:hideMark/>
          </w:tcPr>
          <w:p w14:paraId="010A6449" w14:textId="77777777" w:rsidR="000868F4" w:rsidRPr="002B3B35" w:rsidRDefault="000868F4" w:rsidP="000868F4">
            <w:pPr>
              <w:rPr>
                <w:b/>
                <w:bCs/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>p-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value</w:t>
            </w:r>
            <w:proofErr w:type="spellEnd"/>
          </w:p>
        </w:tc>
      </w:tr>
      <w:tr w:rsidR="000868F4" w:rsidRPr="002B3B35" w14:paraId="283CE61A" w14:textId="77777777" w:rsidTr="00B36808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0B7C7FE5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proofErr w:type="spellStart"/>
            <w:r w:rsidRPr="002B3B35">
              <w:rPr>
                <w:b/>
                <w:bCs/>
                <w:sz w:val="18"/>
                <w:szCs w:val="18"/>
              </w:rPr>
              <w:t>Pathological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 xml:space="preserve"> response (% 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post-treatment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21" w:type="dxa"/>
            <w:vAlign w:val="center"/>
            <w:hideMark/>
          </w:tcPr>
          <w:p w14:paraId="424328C1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>Median 100 [88–100]Mean 86.4 (±26.8)</w:t>
            </w:r>
          </w:p>
        </w:tc>
        <w:tc>
          <w:tcPr>
            <w:tcW w:w="2311" w:type="dxa"/>
            <w:vAlign w:val="center"/>
            <w:hideMark/>
          </w:tcPr>
          <w:p w14:paraId="257F4AEB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>Median 50 [10–100]Mean 54.5 (±40.8)</w:t>
            </w:r>
          </w:p>
        </w:tc>
        <w:tc>
          <w:tcPr>
            <w:tcW w:w="1434" w:type="dxa"/>
            <w:vAlign w:val="center"/>
            <w:hideMark/>
          </w:tcPr>
          <w:p w14:paraId="1F69F097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 xml:space="preserve">Wilcoxon </w:t>
            </w:r>
            <w:proofErr w:type="spellStart"/>
            <w:r w:rsidRPr="002B3B35">
              <w:rPr>
                <w:sz w:val="18"/>
                <w:szCs w:val="18"/>
              </w:rPr>
              <w:t>rank</w:t>
            </w:r>
            <w:proofErr w:type="spellEnd"/>
            <w:r w:rsidRPr="002B3B35">
              <w:rPr>
                <w:sz w:val="18"/>
                <w:szCs w:val="18"/>
              </w:rPr>
              <w:t>-sum</w:t>
            </w:r>
          </w:p>
        </w:tc>
        <w:tc>
          <w:tcPr>
            <w:tcW w:w="970" w:type="dxa"/>
            <w:vAlign w:val="center"/>
            <w:hideMark/>
          </w:tcPr>
          <w:p w14:paraId="3E3F94D1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>0.0170</w:t>
            </w:r>
          </w:p>
        </w:tc>
      </w:tr>
      <w:tr w:rsidR="000868F4" w:rsidRPr="002B3B35" w14:paraId="57F4DE76" w14:textId="77777777" w:rsidTr="00B36808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4354348F" w14:textId="77777777" w:rsidR="000868F4" w:rsidRPr="002B3B35" w:rsidRDefault="000868F4" w:rsidP="000868F4">
            <w:pPr>
              <w:rPr>
                <w:sz w:val="18"/>
                <w:szCs w:val="18"/>
                <w:lang w:val="en-US"/>
              </w:rPr>
            </w:pPr>
            <w:r w:rsidRPr="002B3B35">
              <w:rPr>
                <w:b/>
                <w:bCs/>
                <w:sz w:val="18"/>
                <w:szCs w:val="18"/>
                <w:lang w:val="en-US"/>
              </w:rPr>
              <w:t>Affected lymph nodes (post-treatment)</w:t>
            </w:r>
          </w:p>
        </w:tc>
        <w:tc>
          <w:tcPr>
            <w:tcW w:w="2521" w:type="dxa"/>
            <w:vAlign w:val="center"/>
            <w:hideMark/>
          </w:tcPr>
          <w:p w14:paraId="107125DF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>Median 0 [0–0]Mean 0.2 (±0.7)</w:t>
            </w:r>
          </w:p>
        </w:tc>
        <w:tc>
          <w:tcPr>
            <w:tcW w:w="2311" w:type="dxa"/>
            <w:vAlign w:val="center"/>
            <w:hideMark/>
          </w:tcPr>
          <w:p w14:paraId="5FC6A045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>Median 0 [0–1.8]Mean 1.5 (±3.0)</w:t>
            </w:r>
          </w:p>
        </w:tc>
        <w:tc>
          <w:tcPr>
            <w:tcW w:w="1434" w:type="dxa"/>
            <w:vAlign w:val="center"/>
            <w:hideMark/>
          </w:tcPr>
          <w:p w14:paraId="61FF631C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sz w:val="18"/>
                <w:szCs w:val="18"/>
              </w:rPr>
              <w:t xml:space="preserve">Wilcoxon </w:t>
            </w:r>
            <w:proofErr w:type="spellStart"/>
            <w:r w:rsidRPr="002B3B35">
              <w:rPr>
                <w:sz w:val="18"/>
                <w:szCs w:val="18"/>
              </w:rPr>
              <w:t>rank</w:t>
            </w:r>
            <w:proofErr w:type="spellEnd"/>
            <w:r w:rsidRPr="002B3B35">
              <w:rPr>
                <w:sz w:val="18"/>
                <w:szCs w:val="18"/>
              </w:rPr>
              <w:t>-sum</w:t>
            </w:r>
          </w:p>
        </w:tc>
        <w:tc>
          <w:tcPr>
            <w:tcW w:w="970" w:type="dxa"/>
            <w:vAlign w:val="center"/>
            <w:hideMark/>
          </w:tcPr>
          <w:p w14:paraId="1D8A2688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>0.0341</w:t>
            </w:r>
          </w:p>
        </w:tc>
      </w:tr>
      <w:tr w:rsidR="000868F4" w:rsidRPr="002B3B35" w14:paraId="42FCF118" w14:textId="77777777" w:rsidTr="00B36808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68073167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proofErr w:type="spellStart"/>
            <w:r w:rsidRPr="002B3B35">
              <w:rPr>
                <w:b/>
                <w:bCs/>
                <w:sz w:val="18"/>
                <w:szCs w:val="18"/>
              </w:rPr>
              <w:t>Pathological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stage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B3B35">
              <w:rPr>
                <w:b/>
                <w:bCs/>
                <w:sz w:val="18"/>
                <w:szCs w:val="18"/>
              </w:rPr>
              <w:t>post-treatment</w:t>
            </w:r>
            <w:proofErr w:type="spellEnd"/>
            <w:r w:rsidRPr="002B3B3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21" w:type="dxa"/>
            <w:vAlign w:val="center"/>
            <w:hideMark/>
          </w:tcPr>
          <w:p w14:paraId="76FF22C4" w14:textId="77777777" w:rsidR="000868F4" w:rsidRPr="002B3B35" w:rsidRDefault="000868F4" w:rsidP="000868F4">
            <w:pPr>
              <w:rPr>
                <w:sz w:val="18"/>
                <w:szCs w:val="18"/>
                <w:lang w:val="en-US"/>
              </w:rPr>
            </w:pPr>
            <w:r w:rsidRPr="002B3B35">
              <w:rPr>
                <w:sz w:val="18"/>
                <w:szCs w:val="18"/>
                <w:lang w:val="en-US"/>
              </w:rPr>
              <w:t>Stage 0–I: 17 (80.9</w:t>
            </w:r>
            <w:proofErr w:type="gramStart"/>
            <w:r w:rsidRPr="002B3B35">
              <w:rPr>
                <w:sz w:val="18"/>
                <w:szCs w:val="18"/>
                <w:lang w:val="en-US"/>
              </w:rPr>
              <w:t>%)Stage</w:t>
            </w:r>
            <w:proofErr w:type="gramEnd"/>
            <w:r w:rsidRPr="002B3B35">
              <w:rPr>
                <w:sz w:val="18"/>
                <w:szCs w:val="18"/>
                <w:lang w:val="en-US"/>
              </w:rPr>
              <w:t xml:space="preserve"> II–IV: 4 (19.1%)</w:t>
            </w:r>
          </w:p>
        </w:tc>
        <w:tc>
          <w:tcPr>
            <w:tcW w:w="2311" w:type="dxa"/>
            <w:vAlign w:val="center"/>
            <w:hideMark/>
          </w:tcPr>
          <w:p w14:paraId="34E5BE0D" w14:textId="77777777" w:rsidR="000868F4" w:rsidRPr="002B3B35" w:rsidRDefault="000868F4" w:rsidP="000868F4">
            <w:pPr>
              <w:rPr>
                <w:sz w:val="18"/>
                <w:szCs w:val="18"/>
                <w:lang w:val="en-US"/>
              </w:rPr>
            </w:pPr>
            <w:r w:rsidRPr="002B3B35">
              <w:rPr>
                <w:sz w:val="18"/>
                <w:szCs w:val="18"/>
                <w:lang w:val="en-US"/>
              </w:rPr>
              <w:t>Stage 0–I: 4 (18.2</w:t>
            </w:r>
            <w:proofErr w:type="gramStart"/>
            <w:r w:rsidRPr="002B3B35">
              <w:rPr>
                <w:sz w:val="18"/>
                <w:szCs w:val="18"/>
                <w:lang w:val="en-US"/>
              </w:rPr>
              <w:t>%)Stage</w:t>
            </w:r>
            <w:proofErr w:type="gramEnd"/>
            <w:r w:rsidRPr="002B3B35">
              <w:rPr>
                <w:sz w:val="18"/>
                <w:szCs w:val="18"/>
                <w:lang w:val="en-US"/>
              </w:rPr>
              <w:t xml:space="preserve"> II–IV: 18 (81.8%)</w:t>
            </w:r>
          </w:p>
        </w:tc>
        <w:tc>
          <w:tcPr>
            <w:tcW w:w="1434" w:type="dxa"/>
            <w:vAlign w:val="center"/>
            <w:hideMark/>
          </w:tcPr>
          <w:p w14:paraId="6CB8D482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proofErr w:type="spellStart"/>
            <w:r w:rsidRPr="002B3B35">
              <w:rPr>
                <w:sz w:val="18"/>
                <w:szCs w:val="18"/>
              </w:rPr>
              <w:t>Fisher’s</w:t>
            </w:r>
            <w:proofErr w:type="spellEnd"/>
            <w:r w:rsidRPr="002B3B35">
              <w:rPr>
                <w:sz w:val="18"/>
                <w:szCs w:val="18"/>
              </w:rPr>
              <w:t xml:space="preserve"> </w:t>
            </w:r>
            <w:proofErr w:type="spellStart"/>
            <w:r w:rsidRPr="002B3B35">
              <w:rPr>
                <w:sz w:val="18"/>
                <w:szCs w:val="18"/>
              </w:rPr>
              <w:t>exact</w:t>
            </w:r>
            <w:proofErr w:type="spellEnd"/>
          </w:p>
        </w:tc>
        <w:tc>
          <w:tcPr>
            <w:tcW w:w="970" w:type="dxa"/>
            <w:vAlign w:val="center"/>
            <w:hideMark/>
          </w:tcPr>
          <w:p w14:paraId="09BD6CA0" w14:textId="77777777" w:rsidR="000868F4" w:rsidRPr="002B3B35" w:rsidRDefault="000868F4" w:rsidP="000868F4">
            <w:pPr>
              <w:rPr>
                <w:sz w:val="18"/>
                <w:szCs w:val="18"/>
              </w:rPr>
            </w:pPr>
            <w:r w:rsidRPr="002B3B35">
              <w:rPr>
                <w:b/>
                <w:bCs/>
                <w:sz w:val="18"/>
                <w:szCs w:val="18"/>
              </w:rPr>
              <w:t>0.0020</w:t>
            </w:r>
          </w:p>
        </w:tc>
      </w:tr>
    </w:tbl>
    <w:p w14:paraId="7FBB055E" w14:textId="50002FA6" w:rsidR="00711C24" w:rsidRDefault="00711C24">
      <w:pPr>
        <w:rPr>
          <w:lang w:val="en-US"/>
        </w:rPr>
      </w:pPr>
    </w:p>
    <w:p w14:paraId="3230E499" w14:textId="77777777" w:rsidR="00711C24" w:rsidRDefault="00711C24">
      <w:pPr>
        <w:rPr>
          <w:lang w:val="en-US"/>
        </w:rPr>
      </w:pPr>
      <w:r>
        <w:rPr>
          <w:lang w:val="en-US"/>
        </w:rPr>
        <w:br w:type="page"/>
      </w:r>
    </w:p>
    <w:p w14:paraId="3D06FC0C" w14:textId="25C31A34" w:rsidR="000868F4" w:rsidRPr="00B0458E" w:rsidRDefault="009028B6">
      <w:pPr>
        <w:rPr>
          <w:b/>
          <w:bCs/>
          <w:sz w:val="28"/>
          <w:szCs w:val="28"/>
          <w:lang w:val="en-US"/>
        </w:rPr>
      </w:pPr>
      <w:r w:rsidRPr="00B0458E">
        <w:rPr>
          <w:b/>
          <w:bCs/>
          <w:sz w:val="28"/>
          <w:szCs w:val="28"/>
          <w:lang w:val="en-US"/>
        </w:rPr>
        <w:lastRenderedPageBreak/>
        <w:t xml:space="preserve">Supplementary Table </w:t>
      </w:r>
      <w:r w:rsidR="003E3CD7">
        <w:rPr>
          <w:b/>
          <w:bCs/>
          <w:sz w:val="28"/>
          <w:szCs w:val="28"/>
          <w:lang w:val="en-US"/>
        </w:rPr>
        <w:t>S</w:t>
      </w:r>
      <w:r w:rsidR="00BB63AE">
        <w:rPr>
          <w:b/>
          <w:bCs/>
          <w:sz w:val="28"/>
          <w:szCs w:val="28"/>
          <w:lang w:val="en-US"/>
        </w:rPr>
        <w:t>3</w:t>
      </w:r>
      <w:r w:rsidRPr="00B0458E">
        <w:rPr>
          <w:b/>
          <w:bCs/>
          <w:sz w:val="28"/>
          <w:szCs w:val="28"/>
          <w:lang w:val="en-US"/>
        </w:rPr>
        <w:t>. Clinical Variables Associated with Pathological Complete Response (</w:t>
      </w:r>
      <w:proofErr w:type="spellStart"/>
      <w:r w:rsidRPr="00B0458E">
        <w:rPr>
          <w:b/>
          <w:bCs/>
          <w:sz w:val="28"/>
          <w:szCs w:val="28"/>
          <w:lang w:val="en-US"/>
        </w:rPr>
        <w:t>pCR</w:t>
      </w:r>
      <w:proofErr w:type="spellEnd"/>
      <w:r w:rsidRPr="00B0458E">
        <w:rPr>
          <w:b/>
          <w:bCs/>
          <w:sz w:val="28"/>
          <w:szCs w:val="28"/>
          <w:lang w:val="en-US"/>
        </w:rPr>
        <w:t>)</w:t>
      </w:r>
    </w:p>
    <w:p w14:paraId="7CFB41C7" w14:textId="77777777" w:rsidR="00B0458E" w:rsidRPr="00B0458E" w:rsidRDefault="00B0458E" w:rsidP="00B0458E">
      <w:pPr>
        <w:jc w:val="both"/>
        <w:rPr>
          <w:lang w:val="en-US"/>
        </w:rPr>
      </w:pPr>
      <w:r w:rsidRPr="00B0458E">
        <w:rPr>
          <w:lang w:val="en-US"/>
        </w:rPr>
        <w:t xml:space="preserve">Comparison of baseline clinicopathological characteristics between patients achieving </w:t>
      </w:r>
      <w:r w:rsidRPr="00B0458E">
        <w:rPr>
          <w:b/>
          <w:bCs/>
          <w:lang w:val="en-US"/>
        </w:rPr>
        <w:t>pathological complete response (</w:t>
      </w:r>
      <w:proofErr w:type="spellStart"/>
      <w:r w:rsidRPr="00B0458E">
        <w:rPr>
          <w:b/>
          <w:bCs/>
          <w:lang w:val="en-US"/>
        </w:rPr>
        <w:t>pCR</w:t>
      </w:r>
      <w:proofErr w:type="spellEnd"/>
      <w:r w:rsidRPr="00B0458E">
        <w:rPr>
          <w:b/>
          <w:bCs/>
          <w:lang w:val="en-US"/>
        </w:rPr>
        <w:t>)</w:t>
      </w:r>
      <w:r w:rsidRPr="00B0458E">
        <w:rPr>
          <w:lang w:val="en-US"/>
        </w:rPr>
        <w:t xml:space="preserve"> and those without </w:t>
      </w:r>
      <w:proofErr w:type="spellStart"/>
      <w:r w:rsidRPr="00B0458E">
        <w:rPr>
          <w:lang w:val="en-US"/>
        </w:rPr>
        <w:t>pCR</w:t>
      </w:r>
      <w:proofErr w:type="spellEnd"/>
      <w:r w:rsidRPr="00B0458E">
        <w:rPr>
          <w:lang w:val="en-US"/>
        </w:rPr>
        <w:t xml:space="preserve"> after neoadjuvant chemotherapy (n = 43). Continuous variables are shown as means ± SD, and categorical variables as counts or distributions.</w:t>
      </w:r>
      <w:r w:rsidRPr="00B0458E">
        <w:rPr>
          <w:lang w:val="en-US"/>
        </w:rPr>
        <w:br/>
        <w:t xml:space="preserve">Statistical analyses were performed using Fisher’s exact test, Pearson’s </w:t>
      </w:r>
      <w:r w:rsidRPr="00B0458E">
        <w:t>χ</w:t>
      </w:r>
      <w:r w:rsidRPr="00B0458E">
        <w:rPr>
          <w:lang w:val="en-US"/>
        </w:rPr>
        <w:t>², or Wilcoxon rank-sum test, as appropriate.</w:t>
      </w:r>
    </w:p>
    <w:p w14:paraId="4E177437" w14:textId="536900B4" w:rsidR="00B0458E" w:rsidRDefault="00B0458E" w:rsidP="00B0458E">
      <w:pPr>
        <w:jc w:val="both"/>
        <w:rPr>
          <w:lang w:val="en-US"/>
        </w:rPr>
      </w:pPr>
      <w:r w:rsidRPr="00B0458E">
        <w:rPr>
          <w:lang w:val="en-US"/>
        </w:rPr>
        <w:t xml:space="preserve">Significant associations (p &lt; 0.05) are shown in </w:t>
      </w:r>
      <w:r w:rsidRPr="00B0458E">
        <w:rPr>
          <w:b/>
          <w:bCs/>
          <w:lang w:val="en-US"/>
        </w:rPr>
        <w:t>bold</w:t>
      </w:r>
      <w:r w:rsidRPr="00B0458E">
        <w:rPr>
          <w:lang w:val="en-US"/>
        </w:rPr>
        <w:t>.</w:t>
      </w:r>
      <w:r w:rsidRPr="00B0458E">
        <w:rPr>
          <w:lang w:val="en-US"/>
        </w:rPr>
        <w:br/>
        <w:t xml:space="preserve">Among all examined variables, </w:t>
      </w:r>
      <w:r w:rsidRPr="00B0458E">
        <w:rPr>
          <w:b/>
          <w:bCs/>
          <w:lang w:val="en-US"/>
        </w:rPr>
        <w:t>breastfeeding history</w:t>
      </w:r>
      <w:r w:rsidRPr="00B0458E">
        <w:rPr>
          <w:lang w:val="en-US"/>
        </w:rPr>
        <w:t xml:space="preserve"> was the only factor significantly associated with </w:t>
      </w:r>
      <w:proofErr w:type="spellStart"/>
      <w:r w:rsidRPr="00B0458E">
        <w:rPr>
          <w:lang w:val="en-US"/>
        </w:rPr>
        <w:t>pCR</w:t>
      </w:r>
      <w:proofErr w:type="spellEnd"/>
      <w:r w:rsidRPr="00B0458E">
        <w:rPr>
          <w:lang w:val="en-US"/>
        </w:rPr>
        <w:t xml:space="preserve"> (</w:t>
      </w:r>
      <w:r w:rsidRPr="00B0458E">
        <w:rPr>
          <w:b/>
          <w:bCs/>
          <w:lang w:val="en-US"/>
        </w:rPr>
        <w:t>p = 0.02</w:t>
      </w:r>
      <w:r w:rsidR="0063157B">
        <w:rPr>
          <w:b/>
          <w:bCs/>
          <w:lang w:val="en-US"/>
        </w:rPr>
        <w:t>3</w:t>
      </w:r>
      <w:r w:rsidRPr="00B0458E">
        <w:rPr>
          <w:lang w:val="en-US"/>
        </w:rPr>
        <w:t>). Patients with longer breastfeeding duration (≥ 6 months) achieved higher complete response rates than those with shorter or no breastfeeding, suggesting a potential biological link between prolonged lactation and enhanced chemosensitivity in TNBC.</w:t>
      </w:r>
    </w:p>
    <w:p w14:paraId="3174209F" w14:textId="77777777" w:rsidR="000C59BE" w:rsidRPr="00B0458E" w:rsidRDefault="000C59BE" w:rsidP="00B0458E">
      <w:pPr>
        <w:jc w:val="both"/>
        <w:rPr>
          <w:lang w:val="en-US"/>
        </w:rPr>
      </w:pP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7"/>
        <w:gridCol w:w="3402"/>
        <w:gridCol w:w="709"/>
        <w:gridCol w:w="992"/>
        <w:gridCol w:w="844"/>
      </w:tblGrid>
      <w:tr w:rsidR="00A738DB" w:rsidRPr="00BB63AE" w14:paraId="0E5E9B7A" w14:textId="77777777" w:rsidTr="00EC09EE">
        <w:trPr>
          <w:tblHeader/>
          <w:tblCellSpacing w:w="15" w:type="dxa"/>
        </w:trPr>
        <w:tc>
          <w:tcPr>
            <w:tcW w:w="2502" w:type="dxa"/>
            <w:vAlign w:val="center"/>
            <w:hideMark/>
          </w:tcPr>
          <w:p w14:paraId="7B0FC019" w14:textId="77777777" w:rsidR="00A738DB" w:rsidRPr="00BB63AE" w:rsidRDefault="00A738DB" w:rsidP="00A738DB">
            <w:pPr>
              <w:rPr>
                <w:b/>
                <w:bCs/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3372" w:type="dxa"/>
            <w:vAlign w:val="center"/>
            <w:hideMark/>
          </w:tcPr>
          <w:p w14:paraId="264982BC" w14:textId="77777777" w:rsidR="00A738DB" w:rsidRPr="00BB63AE" w:rsidRDefault="00A738DB" w:rsidP="00A738DB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B63AE">
              <w:rPr>
                <w:b/>
                <w:bCs/>
                <w:sz w:val="20"/>
                <w:szCs w:val="20"/>
              </w:rPr>
              <w:t>Distribution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 (Non-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pCR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 vs 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pCR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79" w:type="dxa"/>
            <w:vAlign w:val="center"/>
            <w:hideMark/>
          </w:tcPr>
          <w:p w14:paraId="6D291F51" w14:textId="77777777" w:rsidR="00A738DB" w:rsidRPr="00BB63AE" w:rsidRDefault="00A738DB" w:rsidP="00A738DB">
            <w:pPr>
              <w:rPr>
                <w:b/>
                <w:bCs/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OR</w:t>
            </w:r>
          </w:p>
        </w:tc>
        <w:tc>
          <w:tcPr>
            <w:tcW w:w="962" w:type="dxa"/>
            <w:vAlign w:val="center"/>
            <w:hideMark/>
          </w:tcPr>
          <w:p w14:paraId="5DA34908" w14:textId="77777777" w:rsidR="00A738DB" w:rsidRPr="00BB63AE" w:rsidRDefault="00A738DB" w:rsidP="00A738DB">
            <w:pPr>
              <w:rPr>
                <w:b/>
                <w:bCs/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95% CI</w:t>
            </w:r>
          </w:p>
        </w:tc>
        <w:tc>
          <w:tcPr>
            <w:tcW w:w="799" w:type="dxa"/>
            <w:vAlign w:val="center"/>
            <w:hideMark/>
          </w:tcPr>
          <w:p w14:paraId="5C35933E" w14:textId="77777777" w:rsidR="00A738DB" w:rsidRPr="00BB63AE" w:rsidRDefault="00A738DB" w:rsidP="00A738DB">
            <w:pPr>
              <w:rPr>
                <w:b/>
                <w:bCs/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p-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value</w:t>
            </w:r>
            <w:proofErr w:type="spellEnd"/>
          </w:p>
        </w:tc>
      </w:tr>
      <w:tr w:rsidR="00A738DB" w:rsidRPr="00BB63AE" w14:paraId="460E5547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5E7F44A7" w14:textId="77777777" w:rsidR="00A738DB" w:rsidRPr="00BB63AE" w:rsidRDefault="00A738DB" w:rsidP="00A738DB">
            <w:pPr>
              <w:rPr>
                <w:sz w:val="20"/>
                <w:szCs w:val="20"/>
                <w:lang w:val="en-US"/>
              </w:rPr>
            </w:pPr>
            <w:r w:rsidRPr="00BB63AE">
              <w:rPr>
                <w:sz w:val="20"/>
                <w:szCs w:val="20"/>
                <w:lang w:val="en-US"/>
              </w:rPr>
              <w:t>Age at diagnosis (years, mean ± SD)</w:t>
            </w:r>
          </w:p>
        </w:tc>
        <w:tc>
          <w:tcPr>
            <w:tcW w:w="3372" w:type="dxa"/>
            <w:vAlign w:val="center"/>
            <w:hideMark/>
          </w:tcPr>
          <w:p w14:paraId="5379906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56.4 ± 10.6 vs 52.7 ± 11.8</w:t>
            </w:r>
          </w:p>
        </w:tc>
        <w:tc>
          <w:tcPr>
            <w:tcW w:w="679" w:type="dxa"/>
            <w:vAlign w:val="center"/>
            <w:hideMark/>
          </w:tcPr>
          <w:p w14:paraId="79A4F802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48CB60F5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3D53772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0.407</w:t>
            </w:r>
          </w:p>
        </w:tc>
      </w:tr>
      <w:tr w:rsidR="00A738DB" w:rsidRPr="00BB63AE" w14:paraId="35063E8F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2EEA5D4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proofErr w:type="spellStart"/>
            <w:r w:rsidRPr="00BB63AE">
              <w:rPr>
                <w:sz w:val="20"/>
                <w:szCs w:val="20"/>
              </w:rPr>
              <w:t>Family</w:t>
            </w:r>
            <w:proofErr w:type="spellEnd"/>
            <w:r w:rsidRPr="00BB63AE">
              <w:rPr>
                <w:sz w:val="20"/>
                <w:szCs w:val="20"/>
              </w:rPr>
              <w:t xml:space="preserve"> </w:t>
            </w:r>
            <w:proofErr w:type="spellStart"/>
            <w:r w:rsidRPr="00BB63AE">
              <w:rPr>
                <w:sz w:val="20"/>
                <w:szCs w:val="20"/>
              </w:rPr>
              <w:t>history</w:t>
            </w:r>
            <w:proofErr w:type="spellEnd"/>
            <w:r w:rsidRPr="00BB63AE">
              <w:rPr>
                <w:sz w:val="20"/>
                <w:szCs w:val="20"/>
              </w:rPr>
              <w:t xml:space="preserve"> (yes)</w:t>
            </w:r>
          </w:p>
        </w:tc>
        <w:tc>
          <w:tcPr>
            <w:tcW w:w="3372" w:type="dxa"/>
            <w:vAlign w:val="center"/>
            <w:hideMark/>
          </w:tcPr>
          <w:p w14:paraId="700980D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5/25 vs 5/18</w:t>
            </w:r>
          </w:p>
        </w:tc>
        <w:tc>
          <w:tcPr>
            <w:tcW w:w="679" w:type="dxa"/>
            <w:vAlign w:val="center"/>
            <w:hideMark/>
          </w:tcPr>
          <w:p w14:paraId="37A1020A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1.54</w:t>
            </w:r>
          </w:p>
        </w:tc>
        <w:tc>
          <w:tcPr>
            <w:tcW w:w="962" w:type="dxa"/>
            <w:vAlign w:val="center"/>
            <w:hideMark/>
          </w:tcPr>
          <w:p w14:paraId="36D80131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0.37–6.38</w:t>
            </w:r>
          </w:p>
        </w:tc>
        <w:tc>
          <w:tcPr>
            <w:tcW w:w="799" w:type="dxa"/>
            <w:vAlign w:val="center"/>
            <w:hideMark/>
          </w:tcPr>
          <w:p w14:paraId="17B27A30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0.717</w:t>
            </w:r>
          </w:p>
        </w:tc>
      </w:tr>
      <w:tr w:rsidR="00A738DB" w:rsidRPr="00BB63AE" w14:paraId="6FE314D9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4B9AB37D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proofErr w:type="spellStart"/>
            <w:r w:rsidRPr="00BB63AE">
              <w:rPr>
                <w:sz w:val="20"/>
                <w:szCs w:val="20"/>
              </w:rPr>
              <w:t>Menarche</w:t>
            </w:r>
            <w:proofErr w:type="spellEnd"/>
            <w:r w:rsidRPr="00BB63AE">
              <w:rPr>
                <w:sz w:val="20"/>
                <w:szCs w:val="20"/>
              </w:rPr>
              <w:t xml:space="preserve"> (</w:t>
            </w:r>
            <w:proofErr w:type="spellStart"/>
            <w:r w:rsidRPr="00BB63AE">
              <w:rPr>
                <w:sz w:val="20"/>
                <w:szCs w:val="20"/>
              </w:rPr>
              <w:t>categories</w:t>
            </w:r>
            <w:proofErr w:type="spellEnd"/>
            <w:r w:rsidRPr="00BB63AE">
              <w:rPr>
                <w:sz w:val="20"/>
                <w:szCs w:val="20"/>
              </w:rPr>
              <w:t>)</w:t>
            </w:r>
          </w:p>
        </w:tc>
        <w:tc>
          <w:tcPr>
            <w:tcW w:w="3372" w:type="dxa"/>
            <w:vAlign w:val="center"/>
            <w:hideMark/>
          </w:tcPr>
          <w:p w14:paraId="08E49D74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 xml:space="preserve">Similar </w:t>
            </w:r>
            <w:proofErr w:type="spellStart"/>
            <w:r w:rsidRPr="00BB63AE">
              <w:rPr>
                <w:sz w:val="20"/>
                <w:szCs w:val="20"/>
              </w:rPr>
              <w:t>distribution</w:t>
            </w:r>
            <w:proofErr w:type="spellEnd"/>
            <w:r w:rsidRPr="00BB63AE">
              <w:rPr>
                <w:sz w:val="20"/>
                <w:szCs w:val="20"/>
              </w:rPr>
              <w:t xml:space="preserve"> (10–14 </w:t>
            </w:r>
            <w:proofErr w:type="spellStart"/>
            <w:r w:rsidRPr="00BB63AE">
              <w:rPr>
                <w:sz w:val="20"/>
                <w:szCs w:val="20"/>
              </w:rPr>
              <w:t>years</w:t>
            </w:r>
            <w:proofErr w:type="spellEnd"/>
            <w:r w:rsidRPr="00BB63AE">
              <w:rPr>
                <w:sz w:val="20"/>
                <w:szCs w:val="20"/>
              </w:rPr>
              <w:t>)</w:t>
            </w:r>
          </w:p>
        </w:tc>
        <w:tc>
          <w:tcPr>
            <w:tcW w:w="679" w:type="dxa"/>
            <w:vAlign w:val="center"/>
            <w:hideMark/>
          </w:tcPr>
          <w:p w14:paraId="457912DA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50D51960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1A3B4C1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0.338</w:t>
            </w:r>
          </w:p>
        </w:tc>
      </w:tr>
      <w:tr w:rsidR="00A738DB" w:rsidRPr="00BB63AE" w14:paraId="0C7BB021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75A3CAC1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proofErr w:type="spellStart"/>
            <w:r w:rsidRPr="00BB63AE">
              <w:rPr>
                <w:b/>
                <w:bCs/>
                <w:sz w:val="20"/>
                <w:szCs w:val="20"/>
              </w:rPr>
              <w:t>Breastfeeding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none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, &lt; 6 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months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, ≥ 6 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months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372" w:type="dxa"/>
            <w:vAlign w:val="center"/>
            <w:hideMark/>
          </w:tcPr>
          <w:p w14:paraId="27A64D1E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Non-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pCR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 xml:space="preserve">: 9/7/9 vs </w:t>
            </w:r>
            <w:proofErr w:type="spellStart"/>
            <w:r w:rsidRPr="00BB63AE">
              <w:rPr>
                <w:b/>
                <w:bCs/>
                <w:sz w:val="20"/>
                <w:szCs w:val="20"/>
              </w:rPr>
              <w:t>pCR</w:t>
            </w:r>
            <w:proofErr w:type="spellEnd"/>
            <w:r w:rsidRPr="00BB63AE">
              <w:rPr>
                <w:b/>
                <w:bCs/>
                <w:sz w:val="20"/>
                <w:szCs w:val="20"/>
              </w:rPr>
              <w:t>: 12/0/6</w:t>
            </w:r>
          </w:p>
        </w:tc>
        <w:tc>
          <w:tcPr>
            <w:tcW w:w="679" w:type="dxa"/>
            <w:vAlign w:val="center"/>
            <w:hideMark/>
          </w:tcPr>
          <w:p w14:paraId="31E94D3E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5E451917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1BE071D5" w14:textId="7EB367EA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b/>
                <w:bCs/>
                <w:sz w:val="20"/>
                <w:szCs w:val="20"/>
              </w:rPr>
              <w:t>0.02</w:t>
            </w:r>
            <w:r w:rsidR="0063157B" w:rsidRPr="00BB63AE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738DB" w:rsidRPr="00BB63AE" w14:paraId="37045E56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00209ADD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proofErr w:type="gramStart"/>
            <w:r w:rsidRPr="00BB63AE">
              <w:rPr>
                <w:sz w:val="20"/>
                <w:szCs w:val="20"/>
              </w:rPr>
              <w:t>Smoking</w:t>
            </w:r>
            <w:proofErr w:type="gramEnd"/>
            <w:r w:rsidRPr="00BB63AE">
              <w:rPr>
                <w:sz w:val="20"/>
                <w:szCs w:val="20"/>
              </w:rPr>
              <w:t xml:space="preserve"> (yes)</w:t>
            </w:r>
          </w:p>
        </w:tc>
        <w:tc>
          <w:tcPr>
            <w:tcW w:w="3372" w:type="dxa"/>
            <w:vAlign w:val="center"/>
            <w:hideMark/>
          </w:tcPr>
          <w:p w14:paraId="7DE1BE96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17/25 vs 9/18</w:t>
            </w:r>
          </w:p>
        </w:tc>
        <w:tc>
          <w:tcPr>
            <w:tcW w:w="679" w:type="dxa"/>
            <w:vAlign w:val="center"/>
            <w:hideMark/>
          </w:tcPr>
          <w:p w14:paraId="58598A6F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0.47</w:t>
            </w:r>
          </w:p>
        </w:tc>
        <w:tc>
          <w:tcPr>
            <w:tcW w:w="962" w:type="dxa"/>
            <w:vAlign w:val="center"/>
            <w:hideMark/>
          </w:tcPr>
          <w:p w14:paraId="7E20BBFB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0.13–1.64</w:t>
            </w:r>
          </w:p>
        </w:tc>
        <w:tc>
          <w:tcPr>
            <w:tcW w:w="799" w:type="dxa"/>
            <w:vAlign w:val="center"/>
            <w:hideMark/>
          </w:tcPr>
          <w:p w14:paraId="48D88F75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0.344</w:t>
            </w:r>
          </w:p>
        </w:tc>
      </w:tr>
      <w:tr w:rsidR="00A738DB" w:rsidRPr="00BB63AE" w14:paraId="3908F086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3DA3D31F" w14:textId="77777777" w:rsidR="00A738DB" w:rsidRPr="00BB63AE" w:rsidRDefault="00A738DB" w:rsidP="00A738DB">
            <w:pPr>
              <w:rPr>
                <w:sz w:val="20"/>
                <w:szCs w:val="20"/>
                <w:lang w:val="en-US"/>
              </w:rPr>
            </w:pPr>
            <w:r w:rsidRPr="00BB63AE">
              <w:rPr>
                <w:sz w:val="20"/>
                <w:szCs w:val="20"/>
                <w:lang w:val="en-US"/>
              </w:rPr>
              <w:t>Clinical stage pre-treatment (I/II/III)</w:t>
            </w:r>
          </w:p>
        </w:tc>
        <w:tc>
          <w:tcPr>
            <w:tcW w:w="3372" w:type="dxa"/>
            <w:vAlign w:val="center"/>
            <w:hideMark/>
          </w:tcPr>
          <w:p w14:paraId="50E729D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4/16/4 vs 0/16/2</w:t>
            </w:r>
          </w:p>
        </w:tc>
        <w:tc>
          <w:tcPr>
            <w:tcW w:w="679" w:type="dxa"/>
            <w:vAlign w:val="center"/>
            <w:hideMark/>
          </w:tcPr>
          <w:p w14:paraId="4F3D3EA6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7B9957D1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44CAF43F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0.188</w:t>
            </w:r>
          </w:p>
        </w:tc>
      </w:tr>
      <w:tr w:rsidR="00A738DB" w:rsidRPr="00BB63AE" w14:paraId="483D7C1E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27002424" w14:textId="77777777" w:rsidR="00A738DB" w:rsidRPr="00BB63AE" w:rsidRDefault="00A738DB" w:rsidP="00A738DB">
            <w:pPr>
              <w:rPr>
                <w:sz w:val="20"/>
                <w:szCs w:val="20"/>
                <w:lang w:val="fr-FR"/>
              </w:rPr>
            </w:pPr>
            <w:proofErr w:type="spellStart"/>
            <w:r w:rsidRPr="00BB63AE">
              <w:rPr>
                <w:sz w:val="20"/>
                <w:szCs w:val="20"/>
                <w:lang w:val="fr-FR"/>
              </w:rPr>
              <w:t>Tumor</w:t>
            </w:r>
            <w:proofErr w:type="spellEnd"/>
            <w:r w:rsidRPr="00BB63AE">
              <w:rPr>
                <w:sz w:val="20"/>
                <w:szCs w:val="20"/>
                <w:lang w:val="fr-FR"/>
              </w:rPr>
              <w:t xml:space="preserve"> size (T1/T2/T3)</w:t>
            </w:r>
          </w:p>
        </w:tc>
        <w:tc>
          <w:tcPr>
            <w:tcW w:w="3372" w:type="dxa"/>
            <w:vAlign w:val="center"/>
            <w:hideMark/>
          </w:tcPr>
          <w:p w14:paraId="4B773C4A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5/15/5 vs 1/13/4</w:t>
            </w:r>
          </w:p>
        </w:tc>
        <w:tc>
          <w:tcPr>
            <w:tcW w:w="679" w:type="dxa"/>
            <w:vAlign w:val="center"/>
            <w:hideMark/>
          </w:tcPr>
          <w:p w14:paraId="3850BA1A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0C003B6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7FF3D4F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0.601</w:t>
            </w:r>
          </w:p>
        </w:tc>
      </w:tr>
      <w:tr w:rsidR="00A738DB" w:rsidRPr="00BB63AE" w14:paraId="56A4A146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79CF5EE4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 xml:space="preserve">Nodal </w:t>
            </w:r>
            <w:proofErr w:type="gramStart"/>
            <w:r w:rsidRPr="00BB63AE">
              <w:rPr>
                <w:sz w:val="20"/>
                <w:szCs w:val="20"/>
              </w:rPr>
              <w:t>status</w:t>
            </w:r>
            <w:proofErr w:type="gramEnd"/>
            <w:r w:rsidRPr="00BB63AE">
              <w:rPr>
                <w:sz w:val="20"/>
                <w:szCs w:val="20"/>
              </w:rPr>
              <w:t xml:space="preserve"> (N0/N1)</w:t>
            </w:r>
          </w:p>
        </w:tc>
        <w:tc>
          <w:tcPr>
            <w:tcW w:w="3372" w:type="dxa"/>
            <w:vAlign w:val="center"/>
            <w:hideMark/>
          </w:tcPr>
          <w:p w14:paraId="2378426C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15/10 vs 7/11</w:t>
            </w:r>
          </w:p>
        </w:tc>
        <w:tc>
          <w:tcPr>
            <w:tcW w:w="679" w:type="dxa"/>
            <w:vAlign w:val="center"/>
            <w:hideMark/>
          </w:tcPr>
          <w:p w14:paraId="5798EACC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2.36</w:t>
            </w:r>
          </w:p>
        </w:tc>
        <w:tc>
          <w:tcPr>
            <w:tcW w:w="962" w:type="dxa"/>
            <w:vAlign w:val="center"/>
            <w:hideMark/>
          </w:tcPr>
          <w:p w14:paraId="20746B7A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0.68–8.15</w:t>
            </w:r>
          </w:p>
        </w:tc>
        <w:tc>
          <w:tcPr>
            <w:tcW w:w="799" w:type="dxa"/>
            <w:vAlign w:val="center"/>
            <w:hideMark/>
          </w:tcPr>
          <w:p w14:paraId="2D4BF938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0.223</w:t>
            </w:r>
          </w:p>
        </w:tc>
      </w:tr>
      <w:tr w:rsidR="00A738DB" w:rsidRPr="00BB63AE" w14:paraId="168A69ED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04CBE2A9" w14:textId="77777777" w:rsidR="00A738DB" w:rsidRPr="00BB63AE" w:rsidRDefault="00A738DB" w:rsidP="00A738DB">
            <w:pPr>
              <w:rPr>
                <w:sz w:val="20"/>
                <w:szCs w:val="20"/>
                <w:lang w:val="en-US"/>
              </w:rPr>
            </w:pPr>
            <w:r w:rsidRPr="00BB63AE">
              <w:rPr>
                <w:sz w:val="20"/>
                <w:szCs w:val="20"/>
                <w:lang w:val="en-US"/>
              </w:rPr>
              <w:t>No. positive lymph nodes (mean)</w:t>
            </w:r>
          </w:p>
        </w:tc>
        <w:tc>
          <w:tcPr>
            <w:tcW w:w="3372" w:type="dxa"/>
            <w:vAlign w:val="center"/>
            <w:hideMark/>
          </w:tcPr>
          <w:p w14:paraId="1CC313E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0.50 vs 0.57</w:t>
            </w:r>
          </w:p>
        </w:tc>
        <w:tc>
          <w:tcPr>
            <w:tcW w:w="679" w:type="dxa"/>
            <w:vAlign w:val="center"/>
            <w:hideMark/>
          </w:tcPr>
          <w:p w14:paraId="02DF9310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56196FE1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28E5E4E2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0.693</w:t>
            </w:r>
          </w:p>
        </w:tc>
      </w:tr>
      <w:tr w:rsidR="00A738DB" w:rsidRPr="00BB63AE" w14:paraId="6A76BCA8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570E68EF" w14:textId="77777777" w:rsidR="00A738DB" w:rsidRPr="00BB63AE" w:rsidRDefault="00A738DB" w:rsidP="00A738DB">
            <w:pPr>
              <w:rPr>
                <w:sz w:val="20"/>
                <w:szCs w:val="20"/>
                <w:lang w:val="en-US"/>
              </w:rPr>
            </w:pPr>
            <w:r w:rsidRPr="00BB63AE">
              <w:rPr>
                <w:sz w:val="20"/>
                <w:szCs w:val="20"/>
                <w:lang w:val="en-US"/>
              </w:rPr>
              <w:t>Pathological stage (I/II/III)</w:t>
            </w:r>
          </w:p>
        </w:tc>
        <w:tc>
          <w:tcPr>
            <w:tcW w:w="3372" w:type="dxa"/>
            <w:vAlign w:val="center"/>
            <w:hideMark/>
          </w:tcPr>
          <w:p w14:paraId="5EDC8FBC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7/14/3 vs 2/14/2</w:t>
            </w:r>
          </w:p>
        </w:tc>
        <w:tc>
          <w:tcPr>
            <w:tcW w:w="679" w:type="dxa"/>
            <w:vAlign w:val="center"/>
            <w:hideMark/>
          </w:tcPr>
          <w:p w14:paraId="4E830340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962" w:type="dxa"/>
            <w:vAlign w:val="center"/>
            <w:hideMark/>
          </w:tcPr>
          <w:p w14:paraId="132093EE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–</w:t>
            </w:r>
          </w:p>
        </w:tc>
        <w:tc>
          <w:tcPr>
            <w:tcW w:w="799" w:type="dxa"/>
            <w:vAlign w:val="center"/>
            <w:hideMark/>
          </w:tcPr>
          <w:p w14:paraId="63D7D798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0.439</w:t>
            </w:r>
          </w:p>
        </w:tc>
      </w:tr>
      <w:tr w:rsidR="00A738DB" w:rsidRPr="00BB63AE" w14:paraId="0AAB76E5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68305C16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 xml:space="preserve">Tubular </w:t>
            </w:r>
            <w:proofErr w:type="spellStart"/>
            <w:r w:rsidRPr="00BB63AE">
              <w:rPr>
                <w:sz w:val="20"/>
                <w:szCs w:val="20"/>
              </w:rPr>
              <w:t>formation</w:t>
            </w:r>
            <w:proofErr w:type="spellEnd"/>
            <w:r w:rsidRPr="00BB63AE">
              <w:rPr>
                <w:sz w:val="20"/>
                <w:szCs w:val="20"/>
              </w:rPr>
              <w:t xml:space="preserve"> (grade 2 vs 3)</w:t>
            </w:r>
          </w:p>
        </w:tc>
        <w:tc>
          <w:tcPr>
            <w:tcW w:w="3372" w:type="dxa"/>
            <w:vAlign w:val="center"/>
            <w:hideMark/>
          </w:tcPr>
          <w:p w14:paraId="224996C7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7/18 vs 5/13</w:t>
            </w:r>
          </w:p>
        </w:tc>
        <w:tc>
          <w:tcPr>
            <w:tcW w:w="679" w:type="dxa"/>
            <w:vAlign w:val="center"/>
            <w:hideMark/>
          </w:tcPr>
          <w:p w14:paraId="7C2A218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1.01</w:t>
            </w:r>
          </w:p>
        </w:tc>
        <w:tc>
          <w:tcPr>
            <w:tcW w:w="962" w:type="dxa"/>
            <w:vAlign w:val="center"/>
            <w:hideMark/>
          </w:tcPr>
          <w:p w14:paraId="77549AE5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0.26–3.91</w:t>
            </w:r>
          </w:p>
        </w:tc>
        <w:tc>
          <w:tcPr>
            <w:tcW w:w="799" w:type="dxa"/>
            <w:vAlign w:val="center"/>
            <w:hideMark/>
          </w:tcPr>
          <w:p w14:paraId="03C72A39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1.000</w:t>
            </w:r>
          </w:p>
        </w:tc>
      </w:tr>
      <w:tr w:rsidR="00A738DB" w:rsidRPr="00BB63AE" w14:paraId="6EA963C6" w14:textId="77777777" w:rsidTr="00EC09EE">
        <w:trPr>
          <w:tblCellSpacing w:w="15" w:type="dxa"/>
        </w:trPr>
        <w:tc>
          <w:tcPr>
            <w:tcW w:w="2502" w:type="dxa"/>
            <w:vAlign w:val="center"/>
            <w:hideMark/>
          </w:tcPr>
          <w:p w14:paraId="6EFCECC8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lastRenderedPageBreak/>
              <w:t xml:space="preserve">Nuclear </w:t>
            </w:r>
            <w:proofErr w:type="spellStart"/>
            <w:r w:rsidRPr="00BB63AE">
              <w:rPr>
                <w:sz w:val="20"/>
                <w:szCs w:val="20"/>
              </w:rPr>
              <w:t>pleomorphism</w:t>
            </w:r>
            <w:proofErr w:type="spellEnd"/>
            <w:r w:rsidRPr="00BB63AE">
              <w:rPr>
                <w:sz w:val="20"/>
                <w:szCs w:val="20"/>
              </w:rPr>
              <w:t xml:space="preserve"> (grade 2 vs 3)</w:t>
            </w:r>
          </w:p>
        </w:tc>
        <w:tc>
          <w:tcPr>
            <w:tcW w:w="3372" w:type="dxa"/>
            <w:vAlign w:val="center"/>
            <w:hideMark/>
          </w:tcPr>
          <w:p w14:paraId="78149A55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6/19 vs 5/13</w:t>
            </w:r>
          </w:p>
        </w:tc>
        <w:tc>
          <w:tcPr>
            <w:tcW w:w="679" w:type="dxa"/>
            <w:vAlign w:val="center"/>
            <w:hideMark/>
          </w:tcPr>
          <w:p w14:paraId="49719B7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0.82</w:t>
            </w:r>
          </w:p>
        </w:tc>
        <w:tc>
          <w:tcPr>
            <w:tcW w:w="962" w:type="dxa"/>
            <w:vAlign w:val="center"/>
            <w:hideMark/>
          </w:tcPr>
          <w:p w14:paraId="26656C43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0.21–3.27</w:t>
            </w:r>
          </w:p>
        </w:tc>
        <w:tc>
          <w:tcPr>
            <w:tcW w:w="799" w:type="dxa"/>
            <w:vAlign w:val="center"/>
            <w:hideMark/>
          </w:tcPr>
          <w:p w14:paraId="1BF705E2" w14:textId="77777777" w:rsidR="00A738DB" w:rsidRPr="00BB63AE" w:rsidRDefault="00A738DB" w:rsidP="00A738DB">
            <w:pPr>
              <w:rPr>
                <w:sz w:val="20"/>
                <w:szCs w:val="20"/>
              </w:rPr>
            </w:pPr>
            <w:r w:rsidRPr="00BB63AE">
              <w:rPr>
                <w:sz w:val="20"/>
                <w:szCs w:val="20"/>
              </w:rPr>
              <w:t>1.000</w:t>
            </w:r>
          </w:p>
        </w:tc>
      </w:tr>
    </w:tbl>
    <w:p w14:paraId="2D42709D" w14:textId="77777777" w:rsidR="00A738DB" w:rsidRPr="009028B6" w:rsidRDefault="00A738DB" w:rsidP="000C59BE">
      <w:pPr>
        <w:rPr>
          <w:lang w:val="en-US"/>
        </w:rPr>
      </w:pPr>
    </w:p>
    <w:sectPr w:rsidR="00A738DB" w:rsidRPr="009028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3EA7" w14:textId="77777777" w:rsidR="000A78C7" w:rsidRDefault="000A78C7" w:rsidP="00EC09EE">
      <w:pPr>
        <w:spacing w:after="0" w:line="240" w:lineRule="auto"/>
      </w:pPr>
      <w:r>
        <w:separator/>
      </w:r>
    </w:p>
  </w:endnote>
  <w:endnote w:type="continuationSeparator" w:id="0">
    <w:p w14:paraId="57E7B419" w14:textId="77777777" w:rsidR="000A78C7" w:rsidRDefault="000A78C7" w:rsidP="00EC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C61D" w14:textId="77777777" w:rsidR="000A78C7" w:rsidRDefault="000A78C7" w:rsidP="00EC09EE">
      <w:pPr>
        <w:spacing w:after="0" w:line="240" w:lineRule="auto"/>
      </w:pPr>
      <w:r>
        <w:separator/>
      </w:r>
    </w:p>
  </w:footnote>
  <w:footnote w:type="continuationSeparator" w:id="0">
    <w:p w14:paraId="1120E835" w14:textId="77777777" w:rsidR="000A78C7" w:rsidRDefault="000A78C7" w:rsidP="00EC0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478E5"/>
    <w:multiLevelType w:val="multilevel"/>
    <w:tmpl w:val="A774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236C9F"/>
    <w:multiLevelType w:val="multilevel"/>
    <w:tmpl w:val="A774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2093286">
    <w:abstractNumId w:val="0"/>
  </w:num>
  <w:num w:numId="2" w16cid:durableId="1520462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4"/>
    <w:rsid w:val="00037763"/>
    <w:rsid w:val="000868F4"/>
    <w:rsid w:val="000A78C7"/>
    <w:rsid w:val="000C59BE"/>
    <w:rsid w:val="002B3B35"/>
    <w:rsid w:val="002F3D8D"/>
    <w:rsid w:val="00384D70"/>
    <w:rsid w:val="003E3CD7"/>
    <w:rsid w:val="0043220B"/>
    <w:rsid w:val="00574AD9"/>
    <w:rsid w:val="0063157B"/>
    <w:rsid w:val="00711C24"/>
    <w:rsid w:val="007D0B5C"/>
    <w:rsid w:val="009028B6"/>
    <w:rsid w:val="00922006"/>
    <w:rsid w:val="009741C7"/>
    <w:rsid w:val="00A0457B"/>
    <w:rsid w:val="00A738DB"/>
    <w:rsid w:val="00B0458E"/>
    <w:rsid w:val="00B36808"/>
    <w:rsid w:val="00BB63AE"/>
    <w:rsid w:val="00CA7A14"/>
    <w:rsid w:val="00CF48BB"/>
    <w:rsid w:val="00EC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6FD9"/>
  <w15:chartTrackingRefBased/>
  <w15:docId w15:val="{524F7AB5-F713-4A46-9F9B-D6BED8FE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6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6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68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6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68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6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6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6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6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68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68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68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68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68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68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68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68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68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6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6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6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6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6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68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68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68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68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68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68F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C0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09EE"/>
  </w:style>
  <w:style w:type="paragraph" w:styleId="Piedepgina">
    <w:name w:val="footer"/>
    <w:basedOn w:val="Normal"/>
    <w:link w:val="PiedepginaCar"/>
    <w:uiPriority w:val="99"/>
    <w:unhideWhenUsed/>
    <w:rsid w:val="00EC0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0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834</Words>
  <Characters>5076</Characters>
  <Application>Microsoft Office Word</Application>
  <DocSecurity>0</DocSecurity>
  <Lines>267</Lines>
  <Paragraphs>164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climent bataller</dc:creator>
  <cp:keywords/>
  <dc:description/>
  <cp:lastModifiedBy>joan climent bataller</cp:lastModifiedBy>
  <cp:revision>8</cp:revision>
  <dcterms:created xsi:type="dcterms:W3CDTF">2025-11-18T00:19:00Z</dcterms:created>
  <dcterms:modified xsi:type="dcterms:W3CDTF">2025-11-18T00:25:00Z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bb4f1b58-3174-45c5-a761-db9859cf67da</vt:lpwstr>
  </property>
</Properties>
</file>